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A2FDC" w14:textId="77777777" w:rsidR="00105549" w:rsidRDefault="00105549" w:rsidP="00E1054B">
      <w:pPr>
        <w:pStyle w:val="Title"/>
        <w:spacing w:before="800"/>
        <w:ind w:right="141"/>
        <w:rPr>
          <w:sz w:val="40"/>
          <w:szCs w:val="40"/>
        </w:rPr>
      </w:pPr>
      <w:r w:rsidRPr="00735CC8">
        <w:rPr>
          <w:rFonts w:ascii="Arial" w:hAnsi="Arial" w:cs="Arial"/>
          <w:noProof/>
          <w:sz w:val="22"/>
          <w:szCs w:val="22"/>
        </w:rPr>
        <w:drawing>
          <wp:anchor distT="0" distB="0" distL="114300" distR="114300" simplePos="0" relativeHeight="251658240" behindDoc="1" locked="0" layoutInCell="1" allowOverlap="1" wp14:anchorId="187ADCD2" wp14:editId="3C762C39">
            <wp:simplePos x="504825" y="1200150"/>
            <wp:positionH relativeFrom="page">
              <wp:align>left</wp:align>
            </wp:positionH>
            <wp:positionV relativeFrom="page">
              <wp:align>top</wp:align>
            </wp:positionV>
            <wp:extent cx="7560000" cy="1962000"/>
            <wp:effectExtent l="0" t="0" r="0" b="635"/>
            <wp:wrapNone/>
            <wp:docPr id="3" name="COGG 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sthead.png"/>
                    <pic:cNvPicPr/>
                  </pic:nvPicPr>
                  <pic:blipFill>
                    <a:blip r:embed="rId9">
                      <a:extLst>
                        <a:ext uri="{28A0092B-C50C-407E-A947-70E740481C1C}">
                          <a14:useLocalDpi xmlns:a14="http://schemas.microsoft.com/office/drawing/2010/main" val="0"/>
                        </a:ext>
                      </a:extLst>
                    </a:blip>
                    <a:stretch>
                      <a:fillRect/>
                    </a:stretch>
                  </pic:blipFill>
                  <pic:spPr>
                    <a:xfrm>
                      <a:off x="0" y="0"/>
                      <a:ext cx="7560000" cy="1962000"/>
                    </a:xfrm>
                    <a:prstGeom prst="rect">
                      <a:avLst/>
                    </a:prstGeom>
                  </pic:spPr>
                </pic:pic>
              </a:graphicData>
            </a:graphic>
            <wp14:sizeRelH relativeFrom="margin">
              <wp14:pctWidth>0</wp14:pctWidth>
            </wp14:sizeRelH>
            <wp14:sizeRelV relativeFrom="margin">
              <wp14:pctHeight>0</wp14:pctHeight>
            </wp14:sizeRelV>
          </wp:anchor>
        </w:drawing>
      </w:r>
      <w:r w:rsidRPr="00EE444D">
        <w:rPr>
          <w:sz w:val="40"/>
          <w:szCs w:val="40"/>
        </w:rPr>
        <w:t>heritage information sheet</w:t>
      </w:r>
    </w:p>
    <w:p w14:paraId="55821DB3" w14:textId="5DB6622E" w:rsidR="00113B8E" w:rsidRPr="00584289" w:rsidRDefault="005E729D" w:rsidP="00E1054B">
      <w:pPr>
        <w:pStyle w:val="Title"/>
        <w:spacing w:before="800"/>
        <w:ind w:right="141"/>
        <w:rPr>
          <w:b w:val="0"/>
          <w:bCs/>
          <w:sz w:val="22"/>
          <w:szCs w:val="24"/>
        </w:rPr>
      </w:pPr>
      <w:r>
        <w:rPr>
          <w:sz w:val="40"/>
          <w:szCs w:val="40"/>
        </w:rPr>
        <w:t>additions</w:t>
      </w:r>
    </w:p>
    <w:p w14:paraId="7BBA3A82" w14:textId="77777777" w:rsidR="00603066" w:rsidRPr="00603066" w:rsidRDefault="00603066" w:rsidP="00E1054B">
      <w:pPr>
        <w:ind w:right="141"/>
      </w:pPr>
    </w:p>
    <w:p w14:paraId="08ED93FC" w14:textId="7D12B891" w:rsidR="007819D3" w:rsidRPr="00D506DE" w:rsidRDefault="00603E11" w:rsidP="00C34B7D">
      <w:pPr>
        <w:pStyle w:val="Heading1"/>
        <w:spacing w:after="400"/>
        <w:ind w:left="142" w:right="142"/>
        <w:jc w:val="both"/>
        <w:rPr>
          <w:rFonts w:ascii="Arial" w:hAnsi="Arial" w:cs="Arial"/>
          <w:caps w:val="0"/>
          <w:szCs w:val="22"/>
        </w:rPr>
      </w:pPr>
      <w:r w:rsidRPr="00D506DE">
        <w:rPr>
          <w:rFonts w:ascii="Arial" w:hAnsi="Arial" w:cs="Arial"/>
          <w:caps w:val="0"/>
          <w:szCs w:val="22"/>
        </w:rPr>
        <w:t xml:space="preserve">Prepared by </w:t>
      </w:r>
      <w:r w:rsidR="00686375" w:rsidRPr="00D506DE">
        <w:rPr>
          <w:rFonts w:ascii="Arial" w:hAnsi="Arial" w:cs="Arial"/>
          <w:caps w:val="0"/>
          <w:szCs w:val="22"/>
        </w:rPr>
        <w:t>Authentic Heritage Services</w:t>
      </w:r>
      <w:r w:rsidR="00E77406" w:rsidRPr="00D506DE">
        <w:rPr>
          <w:rFonts w:ascii="Arial" w:hAnsi="Arial" w:cs="Arial"/>
          <w:caps w:val="0"/>
          <w:szCs w:val="22"/>
        </w:rPr>
        <w:t xml:space="preserve"> Pty Ltd</w:t>
      </w:r>
    </w:p>
    <w:p w14:paraId="4EA374AA" w14:textId="1CF19077" w:rsidR="003145CC" w:rsidRPr="00D506DE" w:rsidRDefault="003145CC" w:rsidP="003145CC">
      <w:pPr>
        <w:spacing w:after="240" w:line="240" w:lineRule="auto"/>
        <w:ind w:left="142" w:right="141"/>
        <w:jc w:val="both"/>
        <w:rPr>
          <w:rFonts w:ascii="Arial" w:hAnsi="Arial" w:cs="Arial"/>
          <w:sz w:val="22"/>
        </w:rPr>
      </w:pPr>
      <w:r w:rsidRPr="00D506DE">
        <w:rPr>
          <w:rFonts w:ascii="Arial" w:hAnsi="Arial" w:cs="Arial"/>
          <w:sz w:val="22"/>
        </w:rPr>
        <w:t xml:space="preserve">Before deciding on any change to a heritage place, </w:t>
      </w:r>
      <w:r w:rsidR="00260BFB">
        <w:rPr>
          <w:rFonts w:ascii="Arial" w:hAnsi="Arial" w:cs="Arial"/>
          <w:sz w:val="22"/>
        </w:rPr>
        <w:t>its</w:t>
      </w:r>
      <w:r w:rsidRPr="00D506DE">
        <w:rPr>
          <w:rFonts w:ascii="Arial" w:hAnsi="Arial" w:cs="Arial"/>
          <w:sz w:val="22"/>
        </w:rPr>
        <w:t xml:space="preserve"> cultural heritage significance</w:t>
      </w:r>
      <w:r w:rsidR="00260BFB">
        <w:rPr>
          <w:rFonts w:ascii="Arial" w:hAnsi="Arial" w:cs="Arial"/>
          <w:sz w:val="22"/>
        </w:rPr>
        <w:t xml:space="preserve"> needs to be understood</w:t>
      </w:r>
      <w:r w:rsidRPr="00D506DE">
        <w:rPr>
          <w:rFonts w:ascii="Arial" w:hAnsi="Arial" w:cs="Arial"/>
          <w:sz w:val="22"/>
        </w:rPr>
        <w:t xml:space="preserve">. </w:t>
      </w:r>
      <w:r w:rsidR="00260BFB">
        <w:rPr>
          <w:rFonts w:ascii="Arial" w:hAnsi="Arial" w:cs="Arial"/>
          <w:sz w:val="22"/>
        </w:rPr>
        <w:t xml:space="preserve">Recognising </w:t>
      </w:r>
      <w:r w:rsidRPr="00D506DE">
        <w:rPr>
          <w:rFonts w:ascii="Arial" w:hAnsi="Arial" w:cs="Arial"/>
          <w:sz w:val="22"/>
        </w:rPr>
        <w:t xml:space="preserve">the cultural values of a place will assist in identifying the opportunities for </w:t>
      </w:r>
      <w:r w:rsidR="001963DF" w:rsidRPr="00D506DE">
        <w:rPr>
          <w:rFonts w:ascii="Arial" w:hAnsi="Arial" w:cs="Arial"/>
          <w:sz w:val="22"/>
        </w:rPr>
        <w:t>change and</w:t>
      </w:r>
      <w:r w:rsidRPr="00D506DE">
        <w:rPr>
          <w:rFonts w:ascii="Arial" w:hAnsi="Arial" w:cs="Arial"/>
          <w:sz w:val="22"/>
        </w:rPr>
        <w:t xml:space="preserve"> will </w:t>
      </w:r>
      <w:r w:rsidR="00260BFB">
        <w:rPr>
          <w:rFonts w:ascii="Arial" w:hAnsi="Arial" w:cs="Arial"/>
          <w:sz w:val="22"/>
        </w:rPr>
        <w:t xml:space="preserve">help to </w:t>
      </w:r>
      <w:r w:rsidRPr="00D506DE">
        <w:rPr>
          <w:rFonts w:ascii="Arial" w:hAnsi="Arial" w:cs="Arial"/>
          <w:sz w:val="22"/>
        </w:rPr>
        <w:t xml:space="preserve">avoid any potential conflicts between heritage values and the proposed addition. The following gives some illustrated examples on the different types of additions, expanding on the City of Greater Geelong </w:t>
      </w:r>
      <w:hyperlink r:id="rId10" w:history="1">
        <w:r w:rsidRPr="00D506DE">
          <w:rPr>
            <w:rStyle w:val="Hyperlink"/>
            <w:rFonts w:ascii="Arial" w:hAnsi="Arial" w:cs="Arial"/>
            <w:color w:val="0070C0"/>
            <w:sz w:val="22"/>
          </w:rPr>
          <w:t>Heritage and Design Guidelines 1997</w:t>
        </w:r>
      </w:hyperlink>
      <w:r w:rsidR="001C0AC2" w:rsidRPr="00D506DE">
        <w:rPr>
          <w:rFonts w:ascii="Arial" w:hAnsi="Arial" w:cs="Arial"/>
          <w:sz w:val="22"/>
        </w:rPr>
        <w:t>.</w:t>
      </w:r>
    </w:p>
    <w:p w14:paraId="1F70195A" w14:textId="009EFAFD" w:rsidR="003145CC" w:rsidRPr="00D506DE" w:rsidRDefault="003145CC" w:rsidP="003145CC">
      <w:pPr>
        <w:spacing w:after="240" w:line="240" w:lineRule="auto"/>
        <w:ind w:left="142" w:right="141"/>
        <w:jc w:val="both"/>
        <w:rPr>
          <w:rFonts w:ascii="Arial" w:hAnsi="Arial" w:cs="Arial"/>
          <w:sz w:val="22"/>
        </w:rPr>
      </w:pPr>
      <w:r w:rsidRPr="00D506DE">
        <w:rPr>
          <w:rFonts w:ascii="Arial" w:hAnsi="Arial" w:cs="Arial"/>
          <w:sz w:val="22"/>
        </w:rPr>
        <w:t xml:space="preserve">Buildings are three dimensional entities and their forms, constructions, chimneys, windows and doors, and </w:t>
      </w:r>
      <w:r w:rsidR="00260BFB">
        <w:rPr>
          <w:rFonts w:ascii="Arial" w:hAnsi="Arial" w:cs="Arial"/>
          <w:sz w:val="22"/>
        </w:rPr>
        <w:t xml:space="preserve">other </w:t>
      </w:r>
      <w:r w:rsidRPr="00D506DE">
        <w:rPr>
          <w:rFonts w:ascii="Arial" w:hAnsi="Arial" w:cs="Arial"/>
          <w:sz w:val="22"/>
        </w:rPr>
        <w:t>details are part of their significance.  Ultimately, any additions to a heritage place need to meet the purpose of the heritage overlay outlined at Clause 43.01 of the Greater Geelong Planning Scheme which is:</w:t>
      </w:r>
    </w:p>
    <w:p w14:paraId="708E2AE0" w14:textId="77777777" w:rsidR="003145CC" w:rsidRDefault="003145CC" w:rsidP="00990847">
      <w:pPr>
        <w:pStyle w:val="NormalWeb"/>
        <w:numPr>
          <w:ilvl w:val="0"/>
          <w:numId w:val="44"/>
        </w:numPr>
        <w:spacing w:before="0" w:beforeAutospacing="0" w:after="0" w:afterAutospacing="0" w:line="360" w:lineRule="auto"/>
        <w:ind w:left="1134" w:hanging="567"/>
        <w:jc w:val="both"/>
        <w:rPr>
          <w:rFonts w:ascii="Arial" w:hAnsi="Arial" w:cstheme="minorHAnsi"/>
          <w:sz w:val="22"/>
          <w:szCs w:val="22"/>
        </w:rPr>
      </w:pPr>
      <w:r w:rsidRPr="00D506DE">
        <w:rPr>
          <w:rFonts w:ascii="Arial" w:hAnsi="Arial" w:cstheme="minorHAnsi"/>
          <w:sz w:val="22"/>
          <w:szCs w:val="22"/>
        </w:rPr>
        <w:t>To implement the Municipal Planning Strategy and the Planning Policy Framework.</w:t>
      </w:r>
    </w:p>
    <w:p w14:paraId="6DD34321" w14:textId="5C3F93B3" w:rsidR="008508A6" w:rsidRPr="00990847" w:rsidRDefault="003145CC" w:rsidP="00990847">
      <w:pPr>
        <w:pStyle w:val="NormalWeb"/>
        <w:numPr>
          <w:ilvl w:val="0"/>
          <w:numId w:val="44"/>
        </w:numPr>
        <w:spacing w:before="0" w:beforeAutospacing="0" w:after="0" w:afterAutospacing="0" w:line="360" w:lineRule="auto"/>
        <w:ind w:left="1134" w:hanging="567"/>
        <w:jc w:val="both"/>
        <w:rPr>
          <w:rFonts w:ascii="Arial" w:hAnsi="Arial" w:cstheme="minorHAnsi"/>
          <w:sz w:val="22"/>
          <w:szCs w:val="22"/>
        </w:rPr>
      </w:pPr>
      <w:r w:rsidRPr="00990847">
        <w:rPr>
          <w:rFonts w:ascii="Arial" w:hAnsi="Arial" w:cstheme="minorHAnsi"/>
          <w:sz w:val="22"/>
          <w:szCs w:val="22"/>
        </w:rPr>
        <w:t>To conserve and enhance heritage places of natural or cultural significance.</w:t>
      </w:r>
    </w:p>
    <w:p w14:paraId="46AE5EA8" w14:textId="390CD354" w:rsidR="008508A6" w:rsidRPr="00990847" w:rsidRDefault="003145CC" w:rsidP="00990847">
      <w:pPr>
        <w:pStyle w:val="NormalWeb"/>
        <w:numPr>
          <w:ilvl w:val="0"/>
          <w:numId w:val="44"/>
        </w:numPr>
        <w:spacing w:before="0" w:beforeAutospacing="0" w:after="0" w:afterAutospacing="0" w:line="360" w:lineRule="auto"/>
        <w:ind w:left="1134" w:hanging="567"/>
        <w:jc w:val="both"/>
        <w:rPr>
          <w:rFonts w:ascii="Arial" w:hAnsi="Arial" w:cstheme="minorHAnsi"/>
          <w:sz w:val="22"/>
          <w:szCs w:val="22"/>
        </w:rPr>
      </w:pPr>
      <w:r w:rsidRPr="00990847">
        <w:rPr>
          <w:rFonts w:ascii="Arial" w:hAnsi="Arial" w:cstheme="minorHAnsi"/>
          <w:sz w:val="22"/>
          <w:szCs w:val="22"/>
        </w:rPr>
        <w:t>To conserve and enhance those elements which contribute to the significance of heritage places.</w:t>
      </w:r>
    </w:p>
    <w:p w14:paraId="1963FE83" w14:textId="77777777" w:rsidR="003145CC" w:rsidRPr="00D506DE" w:rsidRDefault="003145CC" w:rsidP="00990847">
      <w:pPr>
        <w:pStyle w:val="NormalWeb"/>
        <w:numPr>
          <w:ilvl w:val="0"/>
          <w:numId w:val="44"/>
        </w:numPr>
        <w:spacing w:before="0" w:beforeAutospacing="0" w:after="240" w:afterAutospacing="0" w:line="360" w:lineRule="auto"/>
        <w:ind w:left="1134" w:hanging="567"/>
        <w:jc w:val="both"/>
        <w:rPr>
          <w:rFonts w:ascii="Arial" w:hAnsi="Arial" w:cstheme="minorHAnsi"/>
          <w:sz w:val="22"/>
          <w:szCs w:val="22"/>
        </w:rPr>
      </w:pPr>
      <w:r w:rsidRPr="00D506DE">
        <w:rPr>
          <w:rFonts w:ascii="Arial" w:hAnsi="Arial" w:cstheme="minorHAnsi"/>
          <w:sz w:val="22"/>
          <w:szCs w:val="22"/>
        </w:rPr>
        <w:t>To ensure that development does not adversely affect the significance of heritage places.</w:t>
      </w:r>
    </w:p>
    <w:p w14:paraId="76E35AD6" w14:textId="32037BBF" w:rsidR="001C0AC2" w:rsidRPr="00D506DE" w:rsidRDefault="001C0AC2" w:rsidP="001C0AC2">
      <w:pPr>
        <w:pStyle w:val="Heading1"/>
        <w:spacing w:after="200"/>
        <w:ind w:left="142" w:right="141"/>
        <w:jc w:val="both"/>
        <w:rPr>
          <w:rFonts w:ascii="Arial" w:hAnsi="Arial" w:cs="Arial"/>
          <w:caps w:val="0"/>
          <w:szCs w:val="22"/>
        </w:rPr>
      </w:pPr>
      <w:r w:rsidRPr="00D506DE">
        <w:rPr>
          <w:rFonts w:ascii="Arial" w:hAnsi="Arial" w:cs="Arial"/>
          <w:caps w:val="0"/>
          <w:szCs w:val="22"/>
        </w:rPr>
        <w:t>Rear Additions</w:t>
      </w:r>
    </w:p>
    <w:p w14:paraId="0CD8D860" w14:textId="408BE479" w:rsidR="00F64372" w:rsidRPr="00D506DE" w:rsidRDefault="00F91152" w:rsidP="00A95D42">
      <w:pPr>
        <w:pStyle w:val="NormalWeb"/>
        <w:spacing w:before="0" w:beforeAutospacing="0" w:after="240" w:afterAutospacing="0"/>
        <w:ind w:left="142" w:right="142"/>
        <w:jc w:val="both"/>
        <w:rPr>
          <w:rFonts w:ascii="Arial" w:hAnsi="Arial" w:cs="Arial"/>
          <w:sz w:val="22"/>
          <w:szCs w:val="18"/>
        </w:rPr>
      </w:pPr>
      <w:r w:rsidRPr="00D506DE">
        <w:rPr>
          <w:rFonts w:ascii="Arial" w:hAnsi="Arial" w:cs="Arial"/>
          <w:sz w:val="22"/>
          <w:szCs w:val="18"/>
        </w:rPr>
        <w:t xml:space="preserve">Most applications for additions to heritage buildings are for rear locations, as these locations allow the retention of the significant three-dimensional form and character and appearance of the building when viewed from the front. Most of the </w:t>
      </w:r>
      <w:hyperlink r:id="rId11" w:history="1">
        <w:r w:rsidRPr="00D506DE">
          <w:rPr>
            <w:rStyle w:val="Hyperlink"/>
            <w:rFonts w:ascii="Arial" w:hAnsi="Arial" w:cs="Arial"/>
            <w:color w:val="0070C0"/>
            <w:sz w:val="22"/>
            <w:szCs w:val="18"/>
          </w:rPr>
          <w:t>Heritage Design Guidelines</w:t>
        </w:r>
      </w:hyperlink>
      <w:r w:rsidR="000F1777" w:rsidRPr="00D506DE">
        <w:rPr>
          <w:rFonts w:ascii="Arial" w:hAnsi="Arial" w:cs="Arial"/>
          <w:sz w:val="22"/>
          <w:szCs w:val="18"/>
        </w:rPr>
        <w:t xml:space="preserve"> (</w:t>
      </w:r>
      <w:hyperlink r:id="rId12" w:history="1">
        <w:r w:rsidR="000F1777" w:rsidRPr="00D506DE">
          <w:rPr>
            <w:rStyle w:val="Hyperlink"/>
            <w:rFonts w:ascii="Arial" w:hAnsi="Arial" w:cs="Arial"/>
            <w:color w:val="0070C0"/>
            <w:sz w:val="22"/>
            <w:szCs w:val="18"/>
          </w:rPr>
          <w:t>Incorporated Documents</w:t>
        </w:r>
      </w:hyperlink>
      <w:r w:rsidR="000F1777" w:rsidRPr="00D506DE">
        <w:rPr>
          <w:rFonts w:ascii="Arial" w:hAnsi="Arial" w:cs="Arial"/>
          <w:sz w:val="22"/>
          <w:szCs w:val="18"/>
        </w:rPr>
        <w:t xml:space="preserve"> in the </w:t>
      </w:r>
      <w:hyperlink r:id="rId13" w:history="1">
        <w:r w:rsidR="000F1777" w:rsidRPr="00D506DE">
          <w:rPr>
            <w:rStyle w:val="Hyperlink"/>
            <w:rFonts w:ascii="Arial" w:hAnsi="Arial" w:cs="Arial"/>
            <w:color w:val="0070C0"/>
            <w:sz w:val="22"/>
            <w:szCs w:val="18"/>
          </w:rPr>
          <w:t>Planning Scheme</w:t>
        </w:r>
      </w:hyperlink>
      <w:r w:rsidR="000F1777" w:rsidRPr="00D506DE">
        <w:rPr>
          <w:rFonts w:ascii="Arial" w:hAnsi="Arial" w:cs="Arial"/>
          <w:sz w:val="22"/>
          <w:szCs w:val="18"/>
        </w:rPr>
        <w:t xml:space="preserve">) </w:t>
      </w:r>
      <w:r w:rsidR="00F64372" w:rsidRPr="00D506DE">
        <w:rPr>
          <w:rFonts w:ascii="Arial" w:hAnsi="Arial" w:cs="Arial"/>
          <w:sz w:val="22"/>
          <w:szCs w:val="18"/>
        </w:rPr>
        <w:t xml:space="preserve">encourage the retention of front and side setbacks and building separation. Unless specified in a statement of significance or policy for the heritage place (individual property or heritage area), the rear yard of a property is the most ideal location for additions, even where the new work is substantial. From a heritage point of view, boundary to boundary development might also be possible at the rear if there are only incidental views of the new work from the public realm and </w:t>
      </w:r>
      <w:r w:rsidR="00260BFB">
        <w:rPr>
          <w:rFonts w:ascii="Arial" w:hAnsi="Arial" w:cs="Arial"/>
          <w:sz w:val="22"/>
          <w:szCs w:val="18"/>
        </w:rPr>
        <w:t>where</w:t>
      </w:r>
      <w:r w:rsidR="00F64372" w:rsidRPr="00D506DE">
        <w:rPr>
          <w:rFonts w:ascii="Arial" w:hAnsi="Arial" w:cs="Arial"/>
          <w:sz w:val="22"/>
          <w:szCs w:val="18"/>
        </w:rPr>
        <w:t xml:space="preserve"> side setbacks are a predominant characteristic at the front (that is, side setbacks are retained for most of the existing building).</w:t>
      </w:r>
    </w:p>
    <w:p w14:paraId="194E7262" w14:textId="334C7340" w:rsidR="00A95D42" w:rsidRPr="00D506DE" w:rsidRDefault="00F64372" w:rsidP="00742B67">
      <w:pPr>
        <w:pStyle w:val="CharChar1Char"/>
        <w:spacing w:after="240" w:line="240" w:lineRule="auto"/>
        <w:ind w:left="142" w:right="142"/>
        <w:jc w:val="both"/>
        <w:rPr>
          <w:rFonts w:ascii="Arial" w:hAnsi="Arial" w:cstheme="minorHAnsi"/>
          <w:sz w:val="22"/>
          <w:szCs w:val="22"/>
        </w:rPr>
      </w:pPr>
      <w:r w:rsidRPr="00D506DE">
        <w:rPr>
          <w:rFonts w:ascii="Arial" w:hAnsi="Arial" w:cs="Arial"/>
          <w:sz w:val="22"/>
        </w:rPr>
        <w:t xml:space="preserve">While most of the Heritage Design Guidelines promote traditional hipped and gabled roof forms to match existing buildings, it is important that new work is distinguished from the existing significant fabric. As outlined in </w:t>
      </w:r>
      <w:hyperlink r:id="rId14" w:history="1">
        <w:r w:rsidR="000710F1" w:rsidRPr="00D506DE">
          <w:rPr>
            <w:rStyle w:val="Hyperlink"/>
            <w:rFonts w:ascii="Arial" w:hAnsi="Arial" w:cs="Arial"/>
            <w:color w:val="0070C0"/>
            <w:sz w:val="22"/>
          </w:rPr>
          <w:t>The Burra Charter</w:t>
        </w:r>
      </w:hyperlink>
      <w:r w:rsidR="000710F1" w:rsidRPr="00D506DE">
        <w:rPr>
          <w:rFonts w:ascii="Arial" w:hAnsi="Arial" w:cs="Arial"/>
          <w:sz w:val="22"/>
        </w:rPr>
        <w:t xml:space="preserve"> </w:t>
      </w:r>
      <w:r w:rsidR="004C6349" w:rsidRPr="00D506DE">
        <w:rPr>
          <w:rFonts w:ascii="Arial" w:hAnsi="Arial" w:cstheme="minorHAnsi"/>
          <w:i/>
          <w:iCs/>
          <w:sz w:val="22"/>
          <w:szCs w:val="22"/>
        </w:rPr>
        <w:t>the Australia ICOMOS Charter for Places of Cultural Significance, 2013</w:t>
      </w:r>
      <w:r w:rsidR="004C6349" w:rsidRPr="00D506DE">
        <w:rPr>
          <w:rFonts w:ascii="Arial" w:hAnsi="Arial" w:cstheme="minorHAnsi"/>
          <w:sz w:val="22"/>
          <w:szCs w:val="22"/>
        </w:rPr>
        <w:t xml:space="preserve"> (a policy guideline in the Planning Scheme), ‘imitation should be avoided’ yet any new work ‘must respect and have minimal impact on the cultural significance of the place.’ </w:t>
      </w:r>
      <w:hyperlink r:id="rId15" w:history="1">
        <w:r w:rsidR="000111C7" w:rsidRPr="00D506DE">
          <w:rPr>
            <w:rStyle w:val="Hyperlink"/>
            <w:rFonts w:ascii="Arial" w:hAnsi="Arial" w:cstheme="minorHAnsi"/>
            <w:color w:val="0070C0"/>
            <w:sz w:val="22"/>
            <w:szCs w:val="22"/>
          </w:rPr>
          <w:t>The Australia</w:t>
        </w:r>
        <w:r w:rsidR="00D46970" w:rsidRPr="00D506DE">
          <w:rPr>
            <w:rStyle w:val="Hyperlink"/>
            <w:rFonts w:ascii="Arial" w:hAnsi="Arial" w:cstheme="minorHAnsi"/>
            <w:color w:val="0070C0"/>
            <w:sz w:val="22"/>
            <w:szCs w:val="22"/>
          </w:rPr>
          <w:t xml:space="preserve"> ICOMOS Practice Note on New Work</w:t>
        </w:r>
      </w:hyperlink>
      <w:r w:rsidR="00D46970" w:rsidRPr="00D506DE">
        <w:rPr>
          <w:rFonts w:ascii="Arial" w:hAnsi="Arial" w:cstheme="minorHAnsi"/>
          <w:sz w:val="22"/>
          <w:szCs w:val="22"/>
        </w:rPr>
        <w:t xml:space="preserve"> goes further</w:t>
      </w:r>
      <w:r w:rsidR="003C50E0" w:rsidRPr="00D506DE">
        <w:rPr>
          <w:rFonts w:ascii="Arial" w:hAnsi="Arial" w:cstheme="minorHAnsi"/>
          <w:sz w:val="22"/>
          <w:szCs w:val="22"/>
        </w:rPr>
        <w:t>, outlining that ‘being readily identifi</w:t>
      </w:r>
      <w:r w:rsidR="008A05EE" w:rsidRPr="00D506DE">
        <w:rPr>
          <w:rFonts w:ascii="Arial" w:hAnsi="Arial" w:cstheme="minorHAnsi"/>
          <w:sz w:val="22"/>
          <w:szCs w:val="22"/>
        </w:rPr>
        <w:t xml:space="preserve">able does not automatically make new work sympathetic to the place.’ Ultimately, </w:t>
      </w:r>
      <w:r w:rsidR="00A95D42" w:rsidRPr="00D506DE">
        <w:rPr>
          <w:rFonts w:ascii="Arial" w:hAnsi="Arial" w:cstheme="minorHAnsi"/>
          <w:sz w:val="22"/>
          <w:szCs w:val="22"/>
        </w:rPr>
        <w:t>new work should respect the scale, strength, character of the heritage asset, and public views to it, and not overpower it.</w:t>
      </w:r>
    </w:p>
    <w:p w14:paraId="6FEDD85F" w14:textId="063FFDFB" w:rsidR="004F4797" w:rsidRPr="00D506DE" w:rsidRDefault="00A95D42" w:rsidP="009C6294">
      <w:pPr>
        <w:spacing w:after="240" w:line="240" w:lineRule="auto"/>
        <w:ind w:left="142" w:right="142"/>
        <w:jc w:val="both"/>
        <w:rPr>
          <w:rFonts w:ascii="Arial" w:hAnsi="Arial" w:cstheme="minorHAnsi"/>
          <w:sz w:val="22"/>
          <w:szCs w:val="22"/>
        </w:rPr>
      </w:pPr>
      <w:r w:rsidRPr="00D506DE">
        <w:rPr>
          <w:rFonts w:ascii="Arial" w:hAnsi="Arial" w:cstheme="minorHAnsi"/>
          <w:sz w:val="22"/>
          <w:szCs w:val="22"/>
        </w:rPr>
        <w:t>The City of Greater Geelong</w:t>
      </w:r>
      <w:r w:rsidR="00AF452B" w:rsidRPr="00D506DE">
        <w:rPr>
          <w:rFonts w:ascii="Arial" w:hAnsi="Arial" w:cstheme="minorHAnsi"/>
          <w:sz w:val="22"/>
          <w:szCs w:val="22"/>
        </w:rPr>
        <w:t xml:space="preserve"> </w:t>
      </w:r>
      <w:hyperlink r:id="rId16" w:history="1">
        <w:r w:rsidR="00AF452B" w:rsidRPr="00D506DE">
          <w:rPr>
            <w:rStyle w:val="Hyperlink"/>
            <w:rFonts w:ascii="Arial" w:hAnsi="Arial" w:cstheme="minorHAnsi"/>
            <w:color w:val="0070C0"/>
            <w:sz w:val="22"/>
            <w:szCs w:val="22"/>
          </w:rPr>
          <w:t>Heritage and Design Guidelines</w:t>
        </w:r>
      </w:hyperlink>
      <w:r w:rsidR="00AF452B" w:rsidRPr="00D506DE">
        <w:rPr>
          <w:rFonts w:ascii="Arial" w:hAnsi="Arial" w:cstheme="minorHAnsi"/>
          <w:sz w:val="22"/>
          <w:szCs w:val="22"/>
        </w:rPr>
        <w:t xml:space="preserve"> provide details</w:t>
      </w:r>
      <w:r w:rsidR="004F4797" w:rsidRPr="00D506DE">
        <w:rPr>
          <w:rFonts w:ascii="Arial" w:hAnsi="Arial" w:cstheme="minorHAnsi"/>
          <w:sz w:val="22"/>
          <w:szCs w:val="22"/>
        </w:rPr>
        <w:t xml:space="preserve"> on how rear additions need to be considered by being based on viewing lines in plan and elevation. The type and extent of addition proposed will be dependent on these views and the streetscape context.</w:t>
      </w:r>
    </w:p>
    <w:p w14:paraId="4FFB9A99" w14:textId="77777777" w:rsidR="004A799E" w:rsidRPr="00D506DE" w:rsidRDefault="004A799E">
      <w:pPr>
        <w:spacing w:line="260" w:lineRule="atLeast"/>
        <w:rPr>
          <w:rFonts w:ascii="Arial" w:hAnsi="Arial" w:cstheme="minorHAnsi"/>
          <w:sz w:val="22"/>
          <w:szCs w:val="22"/>
          <w:lang w:val="en-US" w:eastAsia="en-US"/>
        </w:rPr>
      </w:pPr>
      <w:r w:rsidRPr="00D506DE">
        <w:rPr>
          <w:rFonts w:ascii="Arial" w:hAnsi="Arial" w:cstheme="minorHAnsi"/>
          <w:sz w:val="22"/>
          <w:szCs w:val="22"/>
        </w:rPr>
        <w:br w:type="page"/>
      </w:r>
    </w:p>
    <w:p w14:paraId="20C27076" w14:textId="77777777" w:rsidR="008F1EC2" w:rsidRDefault="008F1EC2" w:rsidP="004A799E">
      <w:pPr>
        <w:pStyle w:val="CharChar1Char"/>
        <w:spacing w:line="240" w:lineRule="auto"/>
        <w:ind w:left="142" w:right="142"/>
        <w:jc w:val="both"/>
        <w:rPr>
          <w:rFonts w:ascii="Arial" w:hAnsi="Arial" w:cstheme="minorHAnsi"/>
          <w:sz w:val="22"/>
          <w:szCs w:val="22"/>
        </w:rPr>
      </w:pPr>
    </w:p>
    <w:p w14:paraId="213161F9" w14:textId="27631FA9" w:rsidR="004F4797" w:rsidRPr="00D506DE" w:rsidRDefault="004F4797" w:rsidP="004A799E">
      <w:pPr>
        <w:pStyle w:val="CharChar1Char"/>
        <w:spacing w:line="240" w:lineRule="auto"/>
        <w:ind w:left="142" w:right="142"/>
        <w:jc w:val="both"/>
        <w:rPr>
          <w:rFonts w:ascii="Arial" w:hAnsi="Arial" w:cstheme="minorHAnsi"/>
          <w:sz w:val="22"/>
          <w:szCs w:val="22"/>
        </w:rPr>
      </w:pPr>
      <w:r w:rsidRPr="00D506DE">
        <w:rPr>
          <w:rFonts w:ascii="Arial" w:hAnsi="Arial" w:cstheme="minorHAnsi"/>
          <w:sz w:val="22"/>
          <w:szCs w:val="22"/>
        </w:rPr>
        <w:t>There are a range of options that may be considered in designing rear additions including (but not limited to):</w:t>
      </w:r>
    </w:p>
    <w:p w14:paraId="4BEDC578" w14:textId="1AFF2C6A" w:rsidR="004F4797" w:rsidRPr="00D506DE" w:rsidRDefault="004F4797" w:rsidP="00877063">
      <w:pPr>
        <w:numPr>
          <w:ilvl w:val="0"/>
          <w:numId w:val="45"/>
        </w:numPr>
        <w:tabs>
          <w:tab w:val="clear" w:pos="1080"/>
        </w:tabs>
        <w:spacing w:after="240" w:line="240" w:lineRule="auto"/>
        <w:ind w:left="709" w:right="142" w:hanging="567"/>
        <w:jc w:val="both"/>
        <w:rPr>
          <w:rFonts w:ascii="Arial" w:hAnsi="Arial" w:cstheme="minorHAnsi"/>
          <w:sz w:val="22"/>
          <w:szCs w:val="22"/>
        </w:rPr>
      </w:pPr>
      <w:r w:rsidRPr="00D506DE">
        <w:rPr>
          <w:rFonts w:ascii="Arial" w:hAnsi="Arial" w:cstheme="minorHAnsi"/>
          <w:sz w:val="22"/>
          <w:szCs w:val="22"/>
        </w:rPr>
        <w:t>Designs which reflect the roof forms and massing of the existing dwelling but in a contemporary way. These proposals often accord with heritage policy.</w:t>
      </w:r>
    </w:p>
    <w:tbl>
      <w:tblPr>
        <w:tblW w:w="0" w:type="auto"/>
        <w:jc w:val="right"/>
        <w:tblLook w:val="04A0" w:firstRow="1" w:lastRow="0" w:firstColumn="1" w:lastColumn="0" w:noHBand="0" w:noVBand="1"/>
      </w:tblPr>
      <w:tblGrid>
        <w:gridCol w:w="5386"/>
        <w:gridCol w:w="5387"/>
      </w:tblGrid>
      <w:tr w:rsidR="00992A30" w:rsidRPr="00D506DE" w14:paraId="57125741" w14:textId="3DCCCECC" w:rsidTr="001C32BF">
        <w:trPr>
          <w:jc w:val="right"/>
        </w:trPr>
        <w:tc>
          <w:tcPr>
            <w:tcW w:w="0" w:type="auto"/>
          </w:tcPr>
          <w:p w14:paraId="39AA5882" w14:textId="182EDB9B" w:rsidR="001C32BF" w:rsidRPr="00D506DE" w:rsidRDefault="00992A30" w:rsidP="001C32BF">
            <w:pPr>
              <w:spacing w:line="240" w:lineRule="auto"/>
              <w:ind w:right="142"/>
              <w:rPr>
                <w:rFonts w:ascii="Arial" w:hAnsi="Arial" w:cstheme="minorHAnsi"/>
                <w:sz w:val="22"/>
                <w:szCs w:val="22"/>
              </w:rPr>
            </w:pPr>
            <w:r w:rsidRPr="00D506DE">
              <w:rPr>
                <w:rFonts w:ascii="Arial" w:hAnsi="Arial" w:cstheme="minorHAnsi"/>
                <w:noProof/>
              </w:rPr>
              <w:drawing>
                <wp:inline distT="0" distB="0" distL="0" distR="0" wp14:anchorId="5BFA7894" wp14:editId="7BA465E1">
                  <wp:extent cx="3218339" cy="2412000"/>
                  <wp:effectExtent l="0" t="0" r="1270" b="7620"/>
                  <wp:docPr id="23" name="Picture 23" descr="PICT0009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0009_resize"/>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18339" cy="2412000"/>
                          </a:xfrm>
                          <a:prstGeom prst="rect">
                            <a:avLst/>
                          </a:prstGeom>
                          <a:noFill/>
                          <a:ln>
                            <a:noFill/>
                          </a:ln>
                        </pic:spPr>
                      </pic:pic>
                    </a:graphicData>
                  </a:graphic>
                </wp:inline>
              </w:drawing>
            </w:r>
          </w:p>
        </w:tc>
        <w:tc>
          <w:tcPr>
            <w:tcW w:w="0" w:type="auto"/>
          </w:tcPr>
          <w:p w14:paraId="75262BD7" w14:textId="06C5824A" w:rsidR="001C32BF" w:rsidRPr="00D506DE" w:rsidRDefault="00595CB5" w:rsidP="001C32BF">
            <w:pPr>
              <w:spacing w:line="240" w:lineRule="auto"/>
              <w:ind w:right="142"/>
              <w:jc w:val="center"/>
              <w:rPr>
                <w:rFonts w:ascii="Arial" w:hAnsi="Arial" w:cstheme="minorHAnsi"/>
                <w:noProof/>
              </w:rPr>
            </w:pPr>
            <w:r w:rsidRPr="00D506DE">
              <w:rPr>
                <w:rFonts w:ascii="Arial" w:hAnsi="Arial" w:cstheme="minorHAnsi"/>
                <w:noProof/>
              </w:rPr>
              <w:drawing>
                <wp:inline distT="0" distB="0" distL="0" distR="0" wp14:anchorId="632BDDC6" wp14:editId="24E7CD6C">
                  <wp:extent cx="3218339" cy="2412000"/>
                  <wp:effectExtent l="0" t="0" r="1270" b="7620"/>
                  <wp:docPr id="24" name="Picture 24" descr="PICT0010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0010_resize"/>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18339" cy="2412000"/>
                          </a:xfrm>
                          <a:prstGeom prst="rect">
                            <a:avLst/>
                          </a:prstGeom>
                          <a:noFill/>
                          <a:ln>
                            <a:noFill/>
                          </a:ln>
                        </pic:spPr>
                      </pic:pic>
                    </a:graphicData>
                  </a:graphic>
                </wp:inline>
              </w:drawing>
            </w:r>
          </w:p>
        </w:tc>
      </w:tr>
      <w:tr w:rsidR="00992A30" w:rsidRPr="00D506DE" w14:paraId="202FDD5B" w14:textId="75CDD166" w:rsidTr="001C32BF">
        <w:trPr>
          <w:jc w:val="right"/>
        </w:trPr>
        <w:tc>
          <w:tcPr>
            <w:tcW w:w="0" w:type="auto"/>
          </w:tcPr>
          <w:p w14:paraId="08D34E71" w14:textId="77777777" w:rsidR="00992A30" w:rsidRPr="00D506DE" w:rsidRDefault="00992A30" w:rsidP="00992A30">
            <w:pPr>
              <w:spacing w:before="120" w:line="240" w:lineRule="auto"/>
              <w:ind w:left="28" w:right="142"/>
              <w:jc w:val="both"/>
              <w:rPr>
                <w:rFonts w:ascii="Arial" w:hAnsi="Arial" w:cstheme="minorHAnsi"/>
              </w:rPr>
            </w:pPr>
            <w:r w:rsidRPr="00D506DE">
              <w:rPr>
                <w:rFonts w:ascii="Arial" w:hAnsi="Arial" w:cstheme="minorHAnsi"/>
              </w:rPr>
              <w:t>Victorian house with rear single storey additions.</w:t>
            </w:r>
          </w:p>
          <w:p w14:paraId="75AA4542" w14:textId="74F4A20C" w:rsidR="00992A30" w:rsidRPr="00D506DE" w:rsidRDefault="00992A30" w:rsidP="00992A30">
            <w:pPr>
              <w:spacing w:line="240" w:lineRule="auto"/>
              <w:ind w:left="30" w:right="142"/>
              <w:jc w:val="both"/>
              <w:rPr>
                <w:rFonts w:ascii="Arial" w:hAnsi="Arial" w:cstheme="minorHAnsi"/>
              </w:rPr>
            </w:pPr>
            <w:r w:rsidRPr="00D506DE">
              <w:rPr>
                <w:rFonts w:ascii="Arial" w:hAnsi="Arial" w:cstheme="minorHAnsi"/>
              </w:rPr>
              <w:t>Source: Dr David Rowe.</w:t>
            </w:r>
          </w:p>
        </w:tc>
        <w:tc>
          <w:tcPr>
            <w:tcW w:w="0" w:type="auto"/>
          </w:tcPr>
          <w:p w14:paraId="57643B11" w14:textId="11562922" w:rsidR="00992A30" w:rsidRPr="00D506DE" w:rsidRDefault="00992A30" w:rsidP="00992A30">
            <w:pPr>
              <w:spacing w:before="120" w:line="240" w:lineRule="auto"/>
              <w:ind w:right="142"/>
              <w:jc w:val="both"/>
              <w:rPr>
                <w:rFonts w:ascii="Arial" w:hAnsi="Arial" w:cstheme="minorHAnsi"/>
              </w:rPr>
            </w:pPr>
            <w:r w:rsidRPr="00D506DE">
              <w:rPr>
                <w:rFonts w:ascii="Arial" w:hAnsi="Arial" w:cstheme="minorHAnsi"/>
              </w:rPr>
              <w:t>Victorian gable with rear gabled additions to reflect the original roof. Source: Dr David Rowe.</w:t>
            </w:r>
          </w:p>
          <w:p w14:paraId="73E72745" w14:textId="77777777" w:rsidR="00992A30" w:rsidRPr="00D506DE" w:rsidRDefault="00992A30" w:rsidP="00F34DCD">
            <w:pPr>
              <w:spacing w:line="240" w:lineRule="auto"/>
              <w:ind w:left="142" w:right="142"/>
              <w:jc w:val="both"/>
              <w:rPr>
                <w:rFonts w:ascii="Arial" w:hAnsi="Arial" w:cstheme="minorHAnsi"/>
              </w:rPr>
            </w:pPr>
          </w:p>
        </w:tc>
      </w:tr>
    </w:tbl>
    <w:p w14:paraId="15D67666" w14:textId="77777777" w:rsidR="004A799E" w:rsidRPr="00D506DE" w:rsidRDefault="004A799E" w:rsidP="00D03F1C">
      <w:pPr>
        <w:spacing w:after="240" w:line="240" w:lineRule="auto"/>
        <w:ind w:left="142" w:right="142"/>
        <w:jc w:val="both"/>
        <w:rPr>
          <w:rFonts w:ascii="Arial" w:hAnsi="Arial" w:cstheme="minorHAnsi"/>
          <w:sz w:val="22"/>
          <w:szCs w:val="22"/>
        </w:rPr>
      </w:pPr>
    </w:p>
    <w:p w14:paraId="07FA30D5" w14:textId="4693EBB3" w:rsidR="004F4797" w:rsidRPr="00D506DE" w:rsidRDefault="004F4797" w:rsidP="00877063">
      <w:pPr>
        <w:numPr>
          <w:ilvl w:val="0"/>
          <w:numId w:val="45"/>
        </w:numPr>
        <w:tabs>
          <w:tab w:val="clear" w:pos="1080"/>
        </w:tabs>
        <w:spacing w:line="240" w:lineRule="auto"/>
        <w:ind w:left="709" w:right="142" w:hanging="567"/>
        <w:jc w:val="both"/>
        <w:rPr>
          <w:rFonts w:ascii="Arial" w:hAnsi="Arial" w:cstheme="minorHAnsi"/>
          <w:sz w:val="22"/>
        </w:rPr>
      </w:pPr>
      <w:r w:rsidRPr="00D506DE">
        <w:rPr>
          <w:rFonts w:ascii="Arial" w:hAnsi="Arial" w:cstheme="minorHAnsi"/>
          <w:sz w:val="22"/>
        </w:rPr>
        <w:t>Designs that are separate from the existing heritage buildings and which are connected through narrow links.  These types of proposals allow for the retention of the existing three dimensional form of the building, particularly where the addition is of equal or larger size.</w:t>
      </w:r>
    </w:p>
    <w:p w14:paraId="4E01A97F" w14:textId="77777777" w:rsidR="003F6374" w:rsidRPr="00D506DE" w:rsidRDefault="003F6374" w:rsidP="003F6374">
      <w:pPr>
        <w:spacing w:line="240" w:lineRule="auto"/>
        <w:ind w:left="142" w:right="142"/>
        <w:jc w:val="both"/>
        <w:rPr>
          <w:rFonts w:ascii="Arial" w:hAnsi="Arial" w:cstheme="minorHAnsi"/>
          <w:sz w:val="22"/>
        </w:rPr>
      </w:pPr>
    </w:p>
    <w:tbl>
      <w:tblPr>
        <w:tblW w:w="0" w:type="auto"/>
        <w:jc w:val="center"/>
        <w:tblLayout w:type="fixed"/>
        <w:tblLook w:val="04A0" w:firstRow="1" w:lastRow="0" w:firstColumn="1" w:lastColumn="0" w:noHBand="0" w:noVBand="1"/>
      </w:tblPr>
      <w:tblGrid>
        <w:gridCol w:w="7933"/>
      </w:tblGrid>
      <w:tr w:rsidR="003F6374" w:rsidRPr="00D506DE" w14:paraId="46998854" w14:textId="77777777" w:rsidTr="00767952">
        <w:trPr>
          <w:jc w:val="center"/>
        </w:trPr>
        <w:tc>
          <w:tcPr>
            <w:tcW w:w="7933" w:type="dxa"/>
          </w:tcPr>
          <w:p w14:paraId="5F230B1D" w14:textId="0B09BD8A" w:rsidR="003F6374" w:rsidRPr="00D506DE" w:rsidRDefault="003F6374" w:rsidP="008F505F">
            <w:pPr>
              <w:spacing w:line="240" w:lineRule="auto"/>
              <w:ind w:right="142"/>
              <w:rPr>
                <w:rFonts w:ascii="Arial" w:hAnsi="Arial" w:cstheme="minorHAnsi"/>
                <w:sz w:val="22"/>
                <w:szCs w:val="22"/>
              </w:rPr>
            </w:pPr>
            <w:r w:rsidRPr="00D506DE">
              <w:rPr>
                <w:rFonts w:ascii="Arial" w:hAnsi="Arial" w:cstheme="minorHAnsi"/>
                <w:noProof/>
                <w:sz w:val="22"/>
              </w:rPr>
              <w:drawing>
                <wp:inline distT="0" distB="0" distL="0" distR="0" wp14:anchorId="0FB91EB1" wp14:editId="4BDB31AF">
                  <wp:extent cx="4850296" cy="3643310"/>
                  <wp:effectExtent l="0" t="0" r="7620" b="0"/>
                  <wp:docPr id="7" name="Picture 7" descr="Drysdale Funeral Par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ysdale Funeral Parlou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67130" cy="3655955"/>
                          </a:xfrm>
                          <a:prstGeom prst="rect">
                            <a:avLst/>
                          </a:prstGeom>
                          <a:noFill/>
                          <a:ln>
                            <a:noFill/>
                          </a:ln>
                        </pic:spPr>
                      </pic:pic>
                    </a:graphicData>
                  </a:graphic>
                </wp:inline>
              </w:drawing>
            </w:r>
          </w:p>
        </w:tc>
      </w:tr>
      <w:tr w:rsidR="003F6374" w:rsidRPr="00D506DE" w14:paraId="5467F88E" w14:textId="77777777" w:rsidTr="00767952">
        <w:trPr>
          <w:jc w:val="center"/>
        </w:trPr>
        <w:tc>
          <w:tcPr>
            <w:tcW w:w="7933" w:type="dxa"/>
          </w:tcPr>
          <w:p w14:paraId="2099A300" w14:textId="0942AD8F" w:rsidR="007E377D" w:rsidRPr="00D506DE" w:rsidRDefault="007E377D" w:rsidP="007E377D">
            <w:pPr>
              <w:pStyle w:val="CharChar1Char"/>
              <w:spacing w:before="120" w:after="0" w:line="240" w:lineRule="auto"/>
              <w:ind w:left="28" w:right="176"/>
              <w:jc w:val="both"/>
              <w:rPr>
                <w:rFonts w:ascii="Arial" w:hAnsi="Arial" w:cstheme="minorHAnsi"/>
                <w:b/>
                <w:caps/>
                <w:sz w:val="12"/>
                <w:szCs w:val="14"/>
                <w:lang w:val="en-AU" w:eastAsia="en-AU"/>
              </w:rPr>
            </w:pPr>
            <w:r w:rsidRPr="00D506DE">
              <w:rPr>
                <w:rFonts w:ascii="Arial" w:hAnsi="Arial" w:cstheme="minorHAnsi"/>
                <w:sz w:val="18"/>
                <w:szCs w:val="16"/>
              </w:rPr>
              <w:t>Rear additions connected by a narrow link. The additions are a contemporary interpretation of the heritage asset without being a slavish replica.</w:t>
            </w:r>
          </w:p>
          <w:p w14:paraId="7A284A03" w14:textId="07F01671" w:rsidR="003F6374" w:rsidRPr="00D506DE" w:rsidRDefault="003F6374" w:rsidP="007E377D">
            <w:pPr>
              <w:spacing w:line="240" w:lineRule="auto"/>
              <w:ind w:right="142"/>
              <w:jc w:val="both"/>
              <w:rPr>
                <w:rFonts w:ascii="Arial" w:hAnsi="Arial" w:cstheme="minorHAnsi"/>
              </w:rPr>
            </w:pPr>
          </w:p>
        </w:tc>
      </w:tr>
    </w:tbl>
    <w:p w14:paraId="19A4CB5C" w14:textId="77777777" w:rsidR="007E377D" w:rsidRDefault="007E377D">
      <w:pPr>
        <w:spacing w:line="260" w:lineRule="atLeast"/>
        <w:rPr>
          <w:rFonts w:ascii="Arial" w:hAnsi="Arial" w:cstheme="minorHAnsi"/>
          <w:sz w:val="22"/>
        </w:rPr>
      </w:pPr>
      <w:r w:rsidRPr="00D506DE">
        <w:rPr>
          <w:rFonts w:ascii="Arial" w:hAnsi="Arial" w:cstheme="minorHAnsi"/>
          <w:sz w:val="22"/>
        </w:rPr>
        <w:br w:type="page"/>
      </w:r>
    </w:p>
    <w:p w14:paraId="4EF235A8" w14:textId="77777777" w:rsidR="008F1EC2" w:rsidRPr="00D506DE" w:rsidRDefault="008F1EC2">
      <w:pPr>
        <w:spacing w:line="260" w:lineRule="atLeast"/>
        <w:rPr>
          <w:rFonts w:ascii="Arial" w:hAnsi="Arial" w:cstheme="minorHAnsi"/>
          <w:sz w:val="22"/>
        </w:rPr>
      </w:pPr>
    </w:p>
    <w:p w14:paraId="094BD051" w14:textId="2842FE0B" w:rsidR="004F4797" w:rsidRPr="00D506DE" w:rsidRDefault="00077EEC" w:rsidP="00877063">
      <w:pPr>
        <w:pStyle w:val="ListParagraph"/>
        <w:numPr>
          <w:ilvl w:val="0"/>
          <w:numId w:val="45"/>
        </w:numPr>
        <w:tabs>
          <w:tab w:val="clear" w:pos="1080"/>
        </w:tabs>
        <w:spacing w:after="240"/>
        <w:ind w:left="709" w:right="142" w:hanging="567"/>
        <w:jc w:val="both"/>
        <w:rPr>
          <w:rFonts w:cstheme="minorHAnsi"/>
          <w:sz w:val="22"/>
        </w:rPr>
      </w:pPr>
      <w:r w:rsidRPr="00D506DE">
        <w:rPr>
          <w:rFonts w:cstheme="minorHAnsi"/>
          <w:sz w:val="22"/>
        </w:rPr>
        <w:t xml:space="preserve">Designs which may be more </w:t>
      </w:r>
      <w:r w:rsidR="00CD5416" w:rsidRPr="00D506DE">
        <w:rPr>
          <w:rFonts w:cstheme="minorHAnsi"/>
          <w:sz w:val="22"/>
        </w:rPr>
        <w:t>independent in appearance that are largely not visible from the street and do not overwhelm the existing architectural style.</w:t>
      </w:r>
    </w:p>
    <w:p w14:paraId="1A415827" w14:textId="1CC7F42C" w:rsidR="00FB7679" w:rsidRPr="00D506DE" w:rsidRDefault="00675F83" w:rsidP="00760FF2">
      <w:pPr>
        <w:spacing w:after="240" w:line="240" w:lineRule="auto"/>
        <w:ind w:left="142" w:right="142"/>
        <w:jc w:val="both"/>
        <w:rPr>
          <w:rFonts w:ascii="Arial" w:hAnsi="Arial" w:cstheme="minorHAnsi"/>
          <w:sz w:val="22"/>
        </w:rPr>
      </w:pPr>
      <w:r w:rsidRPr="00D506DE">
        <w:rPr>
          <w:rFonts w:ascii="Arial" w:hAnsi="Arial" w:cstheme="minorHAnsi"/>
          <w:sz w:val="22"/>
        </w:rPr>
        <w:t xml:space="preserve">If the new work </w:t>
      </w:r>
      <w:r w:rsidR="00DD373C" w:rsidRPr="00D506DE">
        <w:rPr>
          <w:rFonts w:ascii="Arial" w:hAnsi="Arial" w:cstheme="minorHAnsi"/>
          <w:sz w:val="22"/>
        </w:rPr>
        <w:t xml:space="preserve">is not visible </w:t>
      </w:r>
      <w:r w:rsidR="006F7B35" w:rsidRPr="00D506DE">
        <w:rPr>
          <w:rFonts w:ascii="Arial" w:hAnsi="Arial" w:cstheme="minorHAnsi"/>
          <w:sz w:val="22"/>
        </w:rPr>
        <w:t xml:space="preserve">from the street </w:t>
      </w:r>
      <w:proofErr w:type="gramStart"/>
      <w:r w:rsidR="00FB7679" w:rsidRPr="00D506DE">
        <w:rPr>
          <w:rFonts w:ascii="Arial" w:hAnsi="Arial" w:cstheme="minorHAnsi"/>
          <w:sz w:val="22"/>
        </w:rPr>
        <w:t>and also</w:t>
      </w:r>
      <w:proofErr w:type="gramEnd"/>
      <w:r w:rsidR="00FB7679" w:rsidRPr="00D506DE">
        <w:rPr>
          <w:rFonts w:ascii="Arial" w:hAnsi="Arial" w:cstheme="minorHAnsi"/>
          <w:sz w:val="22"/>
        </w:rPr>
        <w:t xml:space="preserve"> retains the integrity of the heritage place, any </w:t>
      </w:r>
      <w:proofErr w:type="spellStart"/>
      <w:r w:rsidR="00760FF2" w:rsidRPr="00D506DE">
        <w:rPr>
          <w:rFonts w:ascii="Arial" w:hAnsi="Arial" w:cstheme="minorHAnsi"/>
          <w:sz w:val="22"/>
        </w:rPr>
        <w:t>adverse affect</w:t>
      </w:r>
      <w:proofErr w:type="spellEnd"/>
      <w:r w:rsidR="00760FF2" w:rsidRPr="00D506DE">
        <w:rPr>
          <w:rStyle w:val="FootnoteReference"/>
          <w:rFonts w:ascii="Arial" w:hAnsi="Arial" w:cstheme="minorHAnsi"/>
          <w:sz w:val="22"/>
        </w:rPr>
        <w:footnoteReference w:id="2"/>
      </w:r>
      <w:r w:rsidR="00760FF2" w:rsidRPr="00D506DE">
        <w:rPr>
          <w:rFonts w:ascii="Arial" w:hAnsi="Arial" w:cstheme="minorHAnsi"/>
          <w:sz w:val="22"/>
        </w:rPr>
        <w:t xml:space="preserve"> </w:t>
      </w:r>
      <w:r w:rsidR="003A2966" w:rsidRPr="00D506DE">
        <w:rPr>
          <w:rFonts w:ascii="Arial" w:hAnsi="Arial" w:cstheme="minorHAnsi"/>
          <w:sz w:val="22"/>
        </w:rPr>
        <w:t>will be minimal</w:t>
      </w:r>
      <w:r w:rsidR="006D4E09" w:rsidRPr="00D506DE">
        <w:rPr>
          <w:rFonts w:ascii="Arial" w:hAnsi="Arial" w:cstheme="minorHAnsi"/>
          <w:sz w:val="22"/>
        </w:rPr>
        <w:t>.</w:t>
      </w:r>
      <w:r w:rsidR="00986051" w:rsidRPr="00D506DE">
        <w:rPr>
          <w:rFonts w:ascii="Arial" w:hAnsi="Arial" w:cstheme="minorHAnsi"/>
          <w:sz w:val="22"/>
        </w:rPr>
        <w:t xml:space="preserve"> If the new work is visible but subservient (smaller) in scale and constructed with some sympathy in materials to the heritage place, then no </w:t>
      </w:r>
      <w:proofErr w:type="spellStart"/>
      <w:r w:rsidR="00986051" w:rsidRPr="00D506DE">
        <w:rPr>
          <w:rFonts w:ascii="Arial" w:hAnsi="Arial" w:cstheme="minorHAnsi"/>
          <w:sz w:val="22"/>
        </w:rPr>
        <w:t>adverse affect</w:t>
      </w:r>
      <w:proofErr w:type="spellEnd"/>
      <w:r w:rsidR="00986051" w:rsidRPr="00D506DE">
        <w:rPr>
          <w:rFonts w:ascii="Arial" w:hAnsi="Arial" w:cstheme="minorHAnsi"/>
          <w:sz w:val="22"/>
        </w:rPr>
        <w:t xml:space="preserve"> on significance might also be the result.</w:t>
      </w:r>
    </w:p>
    <w:tbl>
      <w:tblPr>
        <w:tblW w:w="0" w:type="auto"/>
        <w:jc w:val="right"/>
        <w:tblLook w:val="04A0" w:firstRow="1" w:lastRow="0" w:firstColumn="1" w:lastColumn="0" w:noHBand="0" w:noVBand="1"/>
      </w:tblPr>
      <w:tblGrid>
        <w:gridCol w:w="5443"/>
        <w:gridCol w:w="5330"/>
      </w:tblGrid>
      <w:tr w:rsidR="00986051" w:rsidRPr="00D506DE" w14:paraId="04553528" w14:textId="77777777" w:rsidTr="008F505F">
        <w:trPr>
          <w:jc w:val="right"/>
        </w:trPr>
        <w:tc>
          <w:tcPr>
            <w:tcW w:w="0" w:type="auto"/>
          </w:tcPr>
          <w:p w14:paraId="658A0FD7" w14:textId="42253107" w:rsidR="00986051" w:rsidRPr="00D506DE" w:rsidRDefault="00BC7CEF" w:rsidP="00BB0D0A">
            <w:pPr>
              <w:spacing w:before="240" w:line="240" w:lineRule="auto"/>
              <w:ind w:right="142"/>
              <w:rPr>
                <w:rFonts w:ascii="Arial" w:hAnsi="Arial" w:cstheme="minorHAnsi"/>
                <w:sz w:val="22"/>
                <w:szCs w:val="22"/>
              </w:rPr>
            </w:pPr>
            <w:r w:rsidRPr="00D506DE">
              <w:rPr>
                <w:rFonts w:ascii="Arial" w:hAnsi="Arial" w:cstheme="minorHAnsi"/>
                <w:noProof/>
              </w:rPr>
              <w:drawing>
                <wp:inline distT="0" distB="0" distL="0" distR="0" wp14:anchorId="27D6AF0A" wp14:editId="7205CFC6">
                  <wp:extent cx="3269895" cy="2450638"/>
                  <wp:effectExtent l="0" t="0" r="6985" b="6985"/>
                  <wp:docPr id="25" name="Picture 25" descr="PICT0015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015_resize"/>
                          <pic:cNvPicPr>
                            <a:picLocks noChangeAspect="1" noChangeArrowheads="1"/>
                          </pic:cNvPicPr>
                        </pic:nvPicPr>
                        <pic:blipFill>
                          <a:blip r:embed="rId22" cstate="print">
                            <a:lum bright="8000" contrast="2000"/>
                            <a:extLst>
                              <a:ext uri="{28A0092B-C50C-407E-A947-70E740481C1C}">
                                <a14:useLocalDpi xmlns:a14="http://schemas.microsoft.com/office/drawing/2010/main" val="0"/>
                              </a:ext>
                            </a:extLst>
                          </a:blip>
                          <a:srcRect/>
                          <a:stretch>
                            <a:fillRect/>
                          </a:stretch>
                        </pic:blipFill>
                        <pic:spPr bwMode="auto">
                          <a:xfrm>
                            <a:off x="0" y="0"/>
                            <a:ext cx="3290932" cy="2466404"/>
                          </a:xfrm>
                          <a:prstGeom prst="rect">
                            <a:avLst/>
                          </a:prstGeom>
                          <a:noFill/>
                          <a:ln>
                            <a:noFill/>
                          </a:ln>
                        </pic:spPr>
                      </pic:pic>
                    </a:graphicData>
                  </a:graphic>
                </wp:inline>
              </w:drawing>
            </w:r>
          </w:p>
        </w:tc>
        <w:tc>
          <w:tcPr>
            <w:tcW w:w="0" w:type="auto"/>
          </w:tcPr>
          <w:p w14:paraId="7C8E90C8" w14:textId="76E7945D" w:rsidR="00986051" w:rsidRPr="00D506DE" w:rsidRDefault="00573ACC" w:rsidP="00BB0D0A">
            <w:pPr>
              <w:spacing w:before="240" w:line="240" w:lineRule="auto"/>
              <w:ind w:right="142"/>
              <w:jc w:val="center"/>
              <w:rPr>
                <w:rFonts w:ascii="Arial" w:hAnsi="Arial" w:cstheme="minorHAnsi"/>
                <w:noProof/>
              </w:rPr>
            </w:pPr>
            <w:r w:rsidRPr="00D506DE">
              <w:rPr>
                <w:rFonts w:ascii="Arial" w:hAnsi="Arial" w:cstheme="minorHAnsi"/>
                <w:noProof/>
              </w:rPr>
              <w:drawing>
                <wp:inline distT="0" distB="0" distL="0" distR="0" wp14:anchorId="2D33B5CA" wp14:editId="33D1BF8E">
                  <wp:extent cx="3204058" cy="2401298"/>
                  <wp:effectExtent l="0" t="0" r="0" b="0"/>
                  <wp:docPr id="26" name="Picture 26" descr="PICT0014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0014_resiz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2763" cy="2407822"/>
                          </a:xfrm>
                          <a:prstGeom prst="rect">
                            <a:avLst/>
                          </a:prstGeom>
                          <a:noFill/>
                          <a:ln>
                            <a:noFill/>
                          </a:ln>
                        </pic:spPr>
                      </pic:pic>
                    </a:graphicData>
                  </a:graphic>
                </wp:inline>
              </w:drawing>
            </w:r>
          </w:p>
        </w:tc>
      </w:tr>
      <w:tr w:rsidR="00986051" w:rsidRPr="00D506DE" w14:paraId="024B3C49" w14:textId="77777777" w:rsidTr="008F505F">
        <w:trPr>
          <w:jc w:val="right"/>
        </w:trPr>
        <w:tc>
          <w:tcPr>
            <w:tcW w:w="0" w:type="auto"/>
          </w:tcPr>
          <w:p w14:paraId="746BAA75" w14:textId="2E298E5F" w:rsidR="00772844" w:rsidRPr="00D506DE" w:rsidRDefault="00772844" w:rsidP="00BB0D0A">
            <w:pPr>
              <w:spacing w:before="240" w:line="240" w:lineRule="auto"/>
              <w:ind w:left="28" w:right="142"/>
              <w:jc w:val="both"/>
              <w:rPr>
                <w:rFonts w:ascii="Arial" w:hAnsi="Arial" w:cstheme="minorHAnsi"/>
              </w:rPr>
            </w:pPr>
            <w:r w:rsidRPr="00D506DE">
              <w:rPr>
                <w:rFonts w:ascii="Arial" w:hAnsi="Arial" w:cstheme="minorHAnsi"/>
              </w:rPr>
              <w:t>Interwar Bungalow, Drumcondra,</w:t>
            </w:r>
            <w:r w:rsidR="00891DC9" w:rsidRPr="00D506DE">
              <w:rPr>
                <w:rFonts w:ascii="Arial" w:hAnsi="Arial" w:cstheme="minorHAnsi"/>
              </w:rPr>
              <w:t xml:space="preserve"> </w:t>
            </w:r>
            <w:r w:rsidRPr="00D506DE">
              <w:rPr>
                <w:rFonts w:ascii="Arial" w:hAnsi="Arial" w:cstheme="minorHAnsi"/>
              </w:rPr>
              <w:t>with highly contemporary single storey additions at the rear not visible from the front.</w:t>
            </w:r>
          </w:p>
          <w:p w14:paraId="1162645E" w14:textId="32E16E79" w:rsidR="00772844" w:rsidRPr="00D506DE" w:rsidRDefault="00772844" w:rsidP="00BB0D0A">
            <w:pPr>
              <w:spacing w:line="240" w:lineRule="auto"/>
              <w:ind w:left="28" w:right="142"/>
              <w:jc w:val="both"/>
              <w:rPr>
                <w:rFonts w:ascii="Arial" w:hAnsi="Arial" w:cstheme="minorHAnsi"/>
                <w:sz w:val="22"/>
              </w:rPr>
            </w:pPr>
            <w:r w:rsidRPr="00D506DE">
              <w:rPr>
                <w:rFonts w:ascii="Arial" w:hAnsi="Arial" w:cstheme="minorHAnsi"/>
              </w:rPr>
              <w:t>Source: Dr David Rowe.</w:t>
            </w:r>
          </w:p>
        </w:tc>
        <w:tc>
          <w:tcPr>
            <w:tcW w:w="0" w:type="auto"/>
          </w:tcPr>
          <w:p w14:paraId="54880C43" w14:textId="6D8EF91A" w:rsidR="00986051" w:rsidRPr="00D506DE" w:rsidRDefault="00F0710E" w:rsidP="00BB0D0A">
            <w:pPr>
              <w:spacing w:before="240" w:line="240" w:lineRule="auto"/>
              <w:ind w:right="142"/>
              <w:jc w:val="both"/>
              <w:rPr>
                <w:rFonts w:ascii="Arial" w:hAnsi="Arial" w:cstheme="minorHAnsi"/>
              </w:rPr>
            </w:pPr>
            <w:r w:rsidRPr="00D506DE">
              <w:rPr>
                <w:rFonts w:ascii="Arial" w:hAnsi="Arial" w:cstheme="minorHAnsi"/>
              </w:rPr>
              <w:t>Rear highly contemporary additions to the interwar Bungalow</w:t>
            </w:r>
            <w:r w:rsidR="00790FBF" w:rsidRPr="00D506DE">
              <w:rPr>
                <w:rFonts w:ascii="Arial" w:hAnsi="Arial" w:cstheme="minorHAnsi"/>
              </w:rPr>
              <w:t>, Drumcondra, above.</w:t>
            </w:r>
            <w:r w:rsidR="00986051" w:rsidRPr="00D506DE">
              <w:rPr>
                <w:rFonts w:ascii="Arial" w:hAnsi="Arial" w:cstheme="minorHAnsi"/>
              </w:rPr>
              <w:t xml:space="preserve"> Source: Dr David Rowe.</w:t>
            </w:r>
          </w:p>
        </w:tc>
      </w:tr>
    </w:tbl>
    <w:p w14:paraId="0D14E8F8" w14:textId="77777777" w:rsidR="00430F87" w:rsidRPr="00D506DE" w:rsidRDefault="00430F87" w:rsidP="00A94BB6">
      <w:pPr>
        <w:spacing w:line="360" w:lineRule="atLeast"/>
        <w:jc w:val="both"/>
        <w:rPr>
          <w:rFonts w:ascii="Arial" w:hAnsi="Arial" w:cstheme="minorHAnsi"/>
          <w:sz w:val="22"/>
        </w:rPr>
      </w:pPr>
    </w:p>
    <w:tbl>
      <w:tblPr>
        <w:tblW w:w="0" w:type="auto"/>
        <w:jc w:val="center"/>
        <w:tblLayout w:type="fixed"/>
        <w:tblLook w:val="04A0" w:firstRow="1" w:lastRow="0" w:firstColumn="1" w:lastColumn="0" w:noHBand="0" w:noVBand="1"/>
      </w:tblPr>
      <w:tblGrid>
        <w:gridCol w:w="5529"/>
      </w:tblGrid>
      <w:tr w:rsidR="00C70725" w:rsidRPr="00D506DE" w14:paraId="7076894F" w14:textId="77777777" w:rsidTr="00891DC9">
        <w:trPr>
          <w:jc w:val="center"/>
        </w:trPr>
        <w:tc>
          <w:tcPr>
            <w:tcW w:w="5529" w:type="dxa"/>
          </w:tcPr>
          <w:p w14:paraId="1AA2BE98" w14:textId="126274BF" w:rsidR="00C70725" w:rsidRPr="00D506DE" w:rsidRDefault="00437296" w:rsidP="008F505F">
            <w:pPr>
              <w:spacing w:line="240" w:lineRule="auto"/>
              <w:ind w:right="142"/>
              <w:rPr>
                <w:rFonts w:ascii="Arial" w:hAnsi="Arial" w:cstheme="minorHAnsi"/>
                <w:sz w:val="22"/>
                <w:szCs w:val="22"/>
              </w:rPr>
            </w:pPr>
            <w:r w:rsidRPr="00D506DE">
              <w:rPr>
                <w:rFonts w:ascii="Arial" w:hAnsi="Arial" w:cstheme="minorHAnsi"/>
                <w:noProof/>
                <w:sz w:val="22"/>
              </w:rPr>
              <w:drawing>
                <wp:inline distT="0" distB="0" distL="0" distR="0" wp14:anchorId="66257B48" wp14:editId="7897D101">
                  <wp:extent cx="3361981"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1981" cy="2520000"/>
                          </a:xfrm>
                          <a:prstGeom prst="rect">
                            <a:avLst/>
                          </a:prstGeom>
                          <a:noFill/>
                          <a:ln>
                            <a:noFill/>
                          </a:ln>
                        </pic:spPr>
                      </pic:pic>
                    </a:graphicData>
                  </a:graphic>
                </wp:inline>
              </w:drawing>
            </w:r>
          </w:p>
        </w:tc>
      </w:tr>
      <w:tr w:rsidR="00C70725" w:rsidRPr="00D506DE" w14:paraId="0309B645" w14:textId="77777777" w:rsidTr="00891DC9">
        <w:trPr>
          <w:trHeight w:val="1461"/>
          <w:jc w:val="center"/>
        </w:trPr>
        <w:tc>
          <w:tcPr>
            <w:tcW w:w="5529" w:type="dxa"/>
          </w:tcPr>
          <w:p w14:paraId="28529422" w14:textId="25C29A93" w:rsidR="00C70725" w:rsidRPr="00D506DE" w:rsidRDefault="00B01FA4" w:rsidP="008E5D63">
            <w:pPr>
              <w:ind w:right="30"/>
              <w:jc w:val="both"/>
              <w:rPr>
                <w:rFonts w:ascii="Arial" w:hAnsi="Arial" w:cstheme="minorHAnsi"/>
                <w:noProof/>
                <w:szCs w:val="16"/>
              </w:rPr>
            </w:pPr>
            <w:r w:rsidRPr="00D506DE">
              <w:rPr>
                <w:rFonts w:ascii="Arial" w:hAnsi="Arial" w:cstheme="minorHAnsi"/>
                <w:noProof/>
                <w:szCs w:val="16"/>
              </w:rPr>
              <w:t>Geelong Eastern Cemetery Gate Lodge with contemporary single storey cuboid additions visible at the rear</w:t>
            </w:r>
            <w:r w:rsidR="008E5D63" w:rsidRPr="00D506DE">
              <w:rPr>
                <w:rFonts w:ascii="Arial" w:hAnsi="Arial" w:cstheme="minorHAnsi"/>
                <w:noProof/>
                <w:szCs w:val="16"/>
              </w:rPr>
              <w:t>. G</w:t>
            </w:r>
            <w:r w:rsidRPr="00D506DE">
              <w:rPr>
                <w:rFonts w:ascii="Arial" w:hAnsi="Arial" w:cstheme="minorHAnsi"/>
                <w:noProof/>
                <w:szCs w:val="16"/>
              </w:rPr>
              <w:t>iven the subservient</w:t>
            </w:r>
            <w:r w:rsidR="00EE28C7" w:rsidRPr="00D506DE">
              <w:rPr>
                <w:rFonts w:ascii="Arial" w:hAnsi="Arial" w:cstheme="minorHAnsi"/>
                <w:noProof/>
                <w:szCs w:val="16"/>
              </w:rPr>
              <w:t xml:space="preserve"> proportions</w:t>
            </w:r>
            <w:r w:rsidR="00EE28C7" w:rsidRPr="00D506DE">
              <w:rPr>
                <w:rStyle w:val="FootnoteReference"/>
                <w:rFonts w:ascii="Arial" w:hAnsi="Arial" w:cstheme="minorHAnsi"/>
                <w:noProof/>
                <w:szCs w:val="16"/>
              </w:rPr>
              <w:footnoteReference w:id="3"/>
            </w:r>
            <w:r w:rsidR="00EE28C7" w:rsidRPr="00D506DE">
              <w:rPr>
                <w:rFonts w:ascii="Arial" w:hAnsi="Arial" w:cstheme="minorHAnsi"/>
                <w:noProof/>
                <w:szCs w:val="16"/>
              </w:rPr>
              <w:t xml:space="preserve"> and some affinity in the materials between the old and the new, no adverse affect on the significance of the heritage asset has resulted.  Source: Dr David Rowe.</w:t>
            </w:r>
          </w:p>
        </w:tc>
      </w:tr>
    </w:tbl>
    <w:p w14:paraId="1CB5A31D" w14:textId="63F79C44" w:rsidR="007D39C8" w:rsidRPr="00D506DE" w:rsidRDefault="00F56982" w:rsidP="00F56982">
      <w:pPr>
        <w:pStyle w:val="Heading1"/>
        <w:spacing w:after="200"/>
        <w:ind w:left="142" w:right="141"/>
        <w:jc w:val="both"/>
        <w:rPr>
          <w:rFonts w:ascii="Arial" w:hAnsi="Arial" w:cs="Arial"/>
          <w:caps w:val="0"/>
          <w:szCs w:val="22"/>
        </w:rPr>
      </w:pPr>
      <w:r w:rsidRPr="00D506DE">
        <w:rPr>
          <w:rFonts w:ascii="Arial" w:hAnsi="Arial" w:cs="Arial"/>
          <w:caps w:val="0"/>
          <w:szCs w:val="22"/>
        </w:rPr>
        <w:lastRenderedPageBreak/>
        <w:t>Other Locations</w:t>
      </w:r>
    </w:p>
    <w:p w14:paraId="0EE2150A" w14:textId="35FEF7A6" w:rsidR="00F56982" w:rsidRDefault="00903402" w:rsidP="00C857E7">
      <w:pPr>
        <w:spacing w:after="240" w:line="240" w:lineRule="auto"/>
        <w:ind w:left="142"/>
        <w:jc w:val="both"/>
        <w:rPr>
          <w:rFonts w:ascii="Arial" w:hAnsi="Arial" w:cstheme="minorHAnsi"/>
          <w:bCs/>
          <w:sz w:val="22"/>
          <w:szCs w:val="20"/>
        </w:rPr>
      </w:pPr>
      <w:r w:rsidRPr="00D506DE">
        <w:rPr>
          <w:rFonts w:ascii="Arial" w:hAnsi="Arial" w:cstheme="minorHAnsi"/>
          <w:bCs/>
          <w:sz w:val="22"/>
          <w:szCs w:val="20"/>
        </w:rPr>
        <w:t xml:space="preserve">One of the </w:t>
      </w:r>
      <w:r w:rsidR="00D705CE" w:rsidRPr="00D506DE">
        <w:rPr>
          <w:rFonts w:ascii="Arial" w:hAnsi="Arial" w:cstheme="minorHAnsi"/>
          <w:bCs/>
          <w:sz w:val="22"/>
          <w:szCs w:val="20"/>
        </w:rPr>
        <w:t>considerations</w:t>
      </w:r>
      <w:r w:rsidRPr="00D506DE">
        <w:rPr>
          <w:rFonts w:ascii="Arial" w:hAnsi="Arial" w:cstheme="minorHAnsi"/>
          <w:bCs/>
          <w:sz w:val="22"/>
          <w:szCs w:val="20"/>
        </w:rPr>
        <w:t xml:space="preserve"> for additions that are not at the rear of the building is the site context, and that the heritage building remains the prominent feature. Retaining the visual strength of the heritage place by ensuring that the additions are subservient in proportion,</w:t>
      </w:r>
      <w:r w:rsidR="009737B7" w:rsidRPr="00D506DE">
        <w:rPr>
          <w:rFonts w:ascii="Arial" w:hAnsi="Arial" w:cstheme="minorHAnsi"/>
          <w:bCs/>
          <w:sz w:val="22"/>
          <w:szCs w:val="20"/>
        </w:rPr>
        <w:t xml:space="preserve"> recessive from the front and complement the forms and character of the heritage asset will be critical to the success of the proposal.</w:t>
      </w:r>
    </w:p>
    <w:p w14:paraId="5B9ACC58" w14:textId="77777777" w:rsidR="00DF1565" w:rsidRDefault="00DF1565" w:rsidP="00C857E7">
      <w:pPr>
        <w:spacing w:after="240" w:line="240" w:lineRule="auto"/>
        <w:ind w:left="142"/>
        <w:jc w:val="both"/>
        <w:rPr>
          <w:rFonts w:ascii="Arial" w:hAnsi="Arial" w:cstheme="minorHAnsi"/>
          <w:bCs/>
          <w:sz w:val="22"/>
          <w:szCs w:val="20"/>
        </w:rPr>
      </w:pPr>
    </w:p>
    <w:tbl>
      <w:tblPr>
        <w:tblW w:w="0" w:type="auto"/>
        <w:jc w:val="center"/>
        <w:tblLook w:val="04A0" w:firstRow="1" w:lastRow="0" w:firstColumn="1" w:lastColumn="0" w:noHBand="0" w:noVBand="1"/>
      </w:tblPr>
      <w:tblGrid>
        <w:gridCol w:w="10773"/>
      </w:tblGrid>
      <w:tr w:rsidR="005B14A2" w14:paraId="1940C8D0" w14:textId="77777777" w:rsidTr="008C2D6D">
        <w:trPr>
          <w:jc w:val="center"/>
        </w:trPr>
        <w:tc>
          <w:tcPr>
            <w:tcW w:w="10773" w:type="dxa"/>
          </w:tcPr>
          <w:p w14:paraId="3B57255A" w14:textId="6DC5915D" w:rsidR="005B14A2" w:rsidRDefault="0089401B" w:rsidP="005B14A2">
            <w:pPr>
              <w:spacing w:line="240" w:lineRule="auto"/>
              <w:jc w:val="center"/>
              <w:rPr>
                <w:rFonts w:ascii="Arial" w:hAnsi="Arial" w:cstheme="minorHAnsi"/>
                <w:bCs/>
                <w:sz w:val="22"/>
                <w:szCs w:val="20"/>
              </w:rPr>
            </w:pPr>
            <w:r>
              <w:rPr>
                <w:rFonts w:cstheme="minorHAnsi"/>
                <w:b/>
                <w:noProof/>
                <w:sz w:val="24"/>
                <w:szCs w:val="22"/>
              </w:rPr>
              <w:drawing>
                <wp:inline distT="0" distB="0" distL="0" distR="0" wp14:anchorId="4F667FEA" wp14:editId="227E7899">
                  <wp:extent cx="4862487" cy="324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2487" cy="3240000"/>
                          </a:xfrm>
                          <a:prstGeom prst="rect">
                            <a:avLst/>
                          </a:prstGeom>
                          <a:noFill/>
                          <a:ln>
                            <a:noFill/>
                          </a:ln>
                        </pic:spPr>
                      </pic:pic>
                    </a:graphicData>
                  </a:graphic>
                </wp:inline>
              </w:drawing>
            </w:r>
          </w:p>
        </w:tc>
      </w:tr>
      <w:tr w:rsidR="005B14A2" w14:paraId="5BE56495" w14:textId="77777777" w:rsidTr="008C2D6D">
        <w:trPr>
          <w:jc w:val="center"/>
        </w:trPr>
        <w:tc>
          <w:tcPr>
            <w:tcW w:w="10773" w:type="dxa"/>
          </w:tcPr>
          <w:p w14:paraId="1D3E4CB8" w14:textId="77777777" w:rsidR="00260BFB" w:rsidRPr="00260BFB" w:rsidRDefault="00260BFB" w:rsidP="00260BFB">
            <w:pPr>
              <w:spacing w:line="240" w:lineRule="auto"/>
              <w:ind w:left="1452" w:right="1452"/>
              <w:jc w:val="both"/>
              <w:rPr>
                <w:rFonts w:ascii="Arial" w:hAnsi="Arial" w:cstheme="minorHAnsi"/>
                <w:bCs/>
                <w:sz w:val="14"/>
                <w:szCs w:val="12"/>
              </w:rPr>
            </w:pPr>
          </w:p>
          <w:p w14:paraId="2EEFFE99" w14:textId="14124DC5" w:rsidR="0094658A" w:rsidRDefault="005B14A2" w:rsidP="00260BFB">
            <w:pPr>
              <w:spacing w:line="240" w:lineRule="auto"/>
              <w:ind w:left="1452" w:right="1452"/>
              <w:jc w:val="both"/>
              <w:rPr>
                <w:rFonts w:ascii="Arial" w:hAnsi="Arial" w:cstheme="minorHAnsi"/>
                <w:bCs/>
                <w:szCs w:val="16"/>
              </w:rPr>
            </w:pPr>
            <w:r w:rsidRPr="00D506DE">
              <w:rPr>
                <w:rFonts w:ascii="Arial" w:hAnsi="Arial" w:cstheme="minorHAnsi"/>
                <w:bCs/>
                <w:szCs w:val="16"/>
              </w:rPr>
              <w:t xml:space="preserve">Buangor Stables, </w:t>
            </w:r>
            <w:proofErr w:type="spellStart"/>
            <w:r w:rsidRPr="00D506DE">
              <w:rPr>
                <w:rFonts w:ascii="Arial" w:hAnsi="Arial" w:cstheme="minorHAnsi"/>
                <w:bCs/>
                <w:szCs w:val="16"/>
              </w:rPr>
              <w:t>Bungaor</w:t>
            </w:r>
            <w:proofErr w:type="spellEnd"/>
            <w:r w:rsidRPr="00D506DE">
              <w:rPr>
                <w:rFonts w:ascii="Arial" w:hAnsi="Arial" w:cstheme="minorHAnsi"/>
                <w:bCs/>
                <w:szCs w:val="16"/>
              </w:rPr>
              <w:t xml:space="preserve">, Victoria, showing side additions that are recessive and have a lightweight appearance to the strength of the bluestone stables building.  </w:t>
            </w:r>
          </w:p>
          <w:p w14:paraId="6564823E" w14:textId="1CC0E3CD" w:rsidR="005B14A2" w:rsidRDefault="005B14A2" w:rsidP="00260BFB">
            <w:pPr>
              <w:spacing w:line="240" w:lineRule="auto"/>
              <w:ind w:left="1452" w:right="1594"/>
              <w:jc w:val="both"/>
              <w:rPr>
                <w:rFonts w:ascii="Arial" w:hAnsi="Arial" w:cstheme="minorHAnsi"/>
                <w:bCs/>
                <w:sz w:val="22"/>
                <w:szCs w:val="20"/>
              </w:rPr>
            </w:pPr>
            <w:r w:rsidRPr="00D506DE">
              <w:rPr>
                <w:rFonts w:ascii="Arial" w:hAnsi="Arial" w:cstheme="minorHAnsi"/>
                <w:bCs/>
                <w:szCs w:val="16"/>
              </w:rPr>
              <w:t>Source: Wendy Jacobs, 2018.</w:t>
            </w:r>
          </w:p>
        </w:tc>
      </w:tr>
    </w:tbl>
    <w:p w14:paraId="033D6E3B" w14:textId="77777777" w:rsidR="005B14A2" w:rsidRDefault="005B14A2" w:rsidP="00C857E7">
      <w:pPr>
        <w:spacing w:after="240" w:line="240" w:lineRule="auto"/>
        <w:ind w:left="142"/>
        <w:jc w:val="both"/>
        <w:rPr>
          <w:rFonts w:ascii="Arial" w:hAnsi="Arial" w:cstheme="minorHAnsi"/>
          <w:bCs/>
          <w:sz w:val="22"/>
          <w:szCs w:val="20"/>
        </w:rPr>
      </w:pPr>
    </w:p>
    <w:p w14:paraId="1FEFB3F4" w14:textId="452FD79C" w:rsidR="00430F87" w:rsidRPr="00D506DE" w:rsidRDefault="00AC44C6" w:rsidP="00AC44C6">
      <w:pPr>
        <w:pStyle w:val="Heading1"/>
        <w:spacing w:after="200"/>
        <w:ind w:left="142" w:right="141"/>
        <w:jc w:val="both"/>
        <w:rPr>
          <w:rFonts w:ascii="Arial" w:hAnsi="Arial" w:cs="Arial"/>
          <w:caps w:val="0"/>
          <w:szCs w:val="22"/>
        </w:rPr>
      </w:pPr>
      <w:r w:rsidRPr="00D506DE">
        <w:rPr>
          <w:rFonts w:ascii="Arial" w:hAnsi="Arial" w:cs="Arial"/>
          <w:caps w:val="0"/>
          <w:szCs w:val="22"/>
        </w:rPr>
        <w:t>Seamless Rear Additions</w:t>
      </w:r>
    </w:p>
    <w:p w14:paraId="697DB520" w14:textId="72FFD130" w:rsidR="009A6E43" w:rsidRPr="00D506DE" w:rsidRDefault="009A6E43" w:rsidP="00CB53F2">
      <w:pPr>
        <w:spacing w:after="240" w:line="240" w:lineRule="auto"/>
        <w:ind w:left="142"/>
        <w:rPr>
          <w:rFonts w:ascii="Arial" w:hAnsi="Arial" w:cstheme="minorHAnsi"/>
          <w:sz w:val="22"/>
        </w:rPr>
      </w:pPr>
      <w:r w:rsidRPr="00D506DE">
        <w:rPr>
          <w:rFonts w:ascii="Arial" w:hAnsi="Arial" w:cstheme="minorHAnsi"/>
          <w:sz w:val="22"/>
        </w:rPr>
        <w:t xml:space="preserve">Seamless extensions have the potential for an </w:t>
      </w:r>
      <w:proofErr w:type="spellStart"/>
      <w:r w:rsidRPr="00D506DE">
        <w:rPr>
          <w:rFonts w:ascii="Arial" w:hAnsi="Arial" w:cstheme="minorHAnsi"/>
          <w:sz w:val="22"/>
        </w:rPr>
        <w:t>adverse affect</w:t>
      </w:r>
      <w:proofErr w:type="spellEnd"/>
      <w:r w:rsidRPr="00D506DE">
        <w:rPr>
          <w:rFonts w:ascii="Arial" w:hAnsi="Arial" w:cstheme="minorHAnsi"/>
          <w:sz w:val="22"/>
        </w:rPr>
        <w:t xml:space="preserve"> on the significance of the heritage place as </w:t>
      </w:r>
      <w:r w:rsidR="00260BFB">
        <w:rPr>
          <w:rFonts w:ascii="Arial" w:hAnsi="Arial" w:cstheme="minorHAnsi"/>
          <w:sz w:val="22"/>
        </w:rPr>
        <w:t xml:space="preserve">they undermine the </w:t>
      </w:r>
      <w:proofErr w:type="gramStart"/>
      <w:r w:rsidR="00260BFB">
        <w:rPr>
          <w:rFonts w:ascii="Arial" w:hAnsi="Arial" w:cstheme="minorHAnsi"/>
          <w:sz w:val="22"/>
        </w:rPr>
        <w:t>three dimensional</w:t>
      </w:r>
      <w:proofErr w:type="gramEnd"/>
      <w:r w:rsidR="00260BFB">
        <w:rPr>
          <w:rFonts w:ascii="Arial" w:hAnsi="Arial" w:cstheme="minorHAnsi"/>
          <w:sz w:val="22"/>
        </w:rPr>
        <w:t xml:space="preserve"> integrity of the significant building composition </w:t>
      </w:r>
      <w:r w:rsidRPr="00D506DE">
        <w:rPr>
          <w:rFonts w:ascii="Arial" w:hAnsi="Arial" w:cstheme="minorHAnsi"/>
          <w:sz w:val="22"/>
        </w:rPr>
        <w:t>(extent and forms</w:t>
      </w:r>
      <w:r w:rsidR="00260BFB">
        <w:rPr>
          <w:rFonts w:ascii="Arial" w:hAnsi="Arial" w:cstheme="minorHAnsi"/>
          <w:sz w:val="22"/>
        </w:rPr>
        <w:t xml:space="preserve">).  The additions are not distinguished (either subtly or noticeably) from the existing.  </w:t>
      </w:r>
    </w:p>
    <w:p w14:paraId="3FCF0D12" w14:textId="77777777" w:rsidR="009A6E43" w:rsidRPr="00D506DE" w:rsidRDefault="009A6E43" w:rsidP="00CB53F2">
      <w:pPr>
        <w:spacing w:after="240" w:line="240" w:lineRule="auto"/>
        <w:ind w:left="142"/>
        <w:rPr>
          <w:rFonts w:ascii="Arial" w:hAnsi="Arial" w:cstheme="minorHAnsi"/>
          <w:sz w:val="22"/>
        </w:rPr>
      </w:pPr>
      <w:r w:rsidRPr="00D506DE">
        <w:rPr>
          <w:rFonts w:ascii="Arial" w:hAnsi="Arial" w:cstheme="minorHAnsi"/>
          <w:sz w:val="22"/>
        </w:rPr>
        <w:t>Measures that may be considered as the most subtle means of distinguishing old from new are:</w:t>
      </w:r>
    </w:p>
    <w:p w14:paraId="6723B260" w14:textId="3B665580" w:rsidR="009A6E43" w:rsidRPr="00D506DE" w:rsidRDefault="009A6E43" w:rsidP="009A6E43">
      <w:pPr>
        <w:pStyle w:val="ListParagraph"/>
        <w:numPr>
          <w:ilvl w:val="0"/>
          <w:numId w:val="46"/>
        </w:numPr>
        <w:ind w:left="1134" w:hanging="567"/>
        <w:contextualSpacing w:val="0"/>
        <w:rPr>
          <w:rFonts w:cstheme="minorHAnsi"/>
          <w:sz w:val="22"/>
        </w:rPr>
      </w:pPr>
      <w:r w:rsidRPr="00D506DE">
        <w:rPr>
          <w:rFonts w:cstheme="minorHAnsi"/>
          <w:sz w:val="22"/>
        </w:rPr>
        <w:t>Setting down the roof ridgeline to enable a principal rear and/or side roof ridgeline to be retained (particularly if visible from the street). This virtually creates a double ridge, the newer ridge being slightly lower.</w:t>
      </w:r>
    </w:p>
    <w:p w14:paraId="2872825C" w14:textId="77777777" w:rsidR="00DE323A" w:rsidRPr="00D506DE" w:rsidRDefault="00DE323A" w:rsidP="00142595">
      <w:pPr>
        <w:ind w:left="142"/>
        <w:rPr>
          <w:rFonts w:ascii="Arial" w:hAnsi="Arial" w:cstheme="minorHAnsi"/>
          <w:sz w:val="22"/>
        </w:rPr>
      </w:pPr>
    </w:p>
    <w:p w14:paraId="2476B45C" w14:textId="44F67B42" w:rsidR="009A6E43" w:rsidRPr="00D506DE" w:rsidRDefault="009A6E43" w:rsidP="00DE323A">
      <w:pPr>
        <w:pStyle w:val="ListParagraph"/>
        <w:numPr>
          <w:ilvl w:val="0"/>
          <w:numId w:val="46"/>
        </w:numPr>
        <w:spacing w:after="240"/>
        <w:ind w:left="1134" w:hanging="567"/>
        <w:contextualSpacing w:val="0"/>
        <w:rPr>
          <w:rFonts w:cstheme="minorHAnsi"/>
          <w:sz w:val="22"/>
        </w:rPr>
      </w:pPr>
      <w:r w:rsidRPr="00D506DE">
        <w:rPr>
          <w:rFonts w:cstheme="minorHAnsi"/>
          <w:sz w:val="22"/>
        </w:rPr>
        <w:t>Providing a slightly shallower roof pitch to the form of the rear addition compared to the existing</w:t>
      </w:r>
      <w:r w:rsidR="001A4ACD">
        <w:rPr>
          <w:rFonts w:cstheme="minorHAnsi"/>
          <w:sz w:val="22"/>
        </w:rPr>
        <w:t>.</w:t>
      </w:r>
    </w:p>
    <w:p w14:paraId="4A60411F" w14:textId="32F855E9" w:rsidR="00DE323A" w:rsidRPr="00D506DE" w:rsidRDefault="00DE323A">
      <w:pPr>
        <w:spacing w:line="260" w:lineRule="atLeast"/>
        <w:rPr>
          <w:rFonts w:ascii="Arial" w:hAnsi="Arial" w:cstheme="minorHAnsi"/>
          <w:sz w:val="22"/>
        </w:rPr>
      </w:pPr>
      <w:r w:rsidRPr="00D506DE">
        <w:rPr>
          <w:rFonts w:ascii="Arial" w:hAnsi="Arial" w:cstheme="minorHAnsi"/>
          <w:sz w:val="22"/>
        </w:rPr>
        <w:br w:type="page"/>
      </w:r>
    </w:p>
    <w:p w14:paraId="17975953" w14:textId="386D0AC4" w:rsidR="00C27A26" w:rsidRPr="00D506DE" w:rsidRDefault="00C27A26" w:rsidP="006515CD">
      <w:pPr>
        <w:pStyle w:val="Heading1"/>
        <w:spacing w:after="200"/>
        <w:ind w:left="142" w:right="141"/>
        <w:jc w:val="both"/>
        <w:rPr>
          <w:rFonts w:ascii="Arial" w:hAnsi="Arial" w:cs="Arial"/>
          <w:caps w:val="0"/>
          <w:szCs w:val="22"/>
        </w:rPr>
      </w:pPr>
      <w:r w:rsidRPr="00D506DE">
        <w:rPr>
          <w:rFonts w:ascii="Arial" w:hAnsi="Arial" w:cs="Arial"/>
          <w:caps w:val="0"/>
          <w:szCs w:val="22"/>
        </w:rPr>
        <w:lastRenderedPageBreak/>
        <w:t>Ensuite Additions</w:t>
      </w:r>
    </w:p>
    <w:p w14:paraId="0105C874" w14:textId="734A6685" w:rsidR="006515CD" w:rsidRPr="00D506DE" w:rsidRDefault="006515CD" w:rsidP="00E9635A">
      <w:pPr>
        <w:spacing w:after="200" w:line="240" w:lineRule="auto"/>
        <w:ind w:left="142" w:right="142"/>
        <w:jc w:val="both"/>
        <w:rPr>
          <w:rFonts w:ascii="Arial" w:hAnsi="Arial" w:cstheme="minorHAnsi"/>
          <w:sz w:val="22"/>
          <w:szCs w:val="22"/>
        </w:rPr>
      </w:pPr>
      <w:r w:rsidRPr="00D506DE">
        <w:rPr>
          <w:rFonts w:ascii="Arial" w:hAnsi="Arial" w:cstheme="minorHAnsi"/>
          <w:sz w:val="22"/>
          <w:szCs w:val="22"/>
        </w:rPr>
        <w:t>It is rare for an ensuite to be successfully added to the side of a front portion of a heritage dwelling without it being noticeable.</w:t>
      </w:r>
    </w:p>
    <w:p w14:paraId="33F54402" w14:textId="6229B9D8" w:rsidR="006515CD" w:rsidRPr="00D506DE" w:rsidRDefault="006515CD" w:rsidP="00E9635A">
      <w:pPr>
        <w:spacing w:after="200" w:line="240" w:lineRule="auto"/>
        <w:ind w:left="142" w:right="142"/>
        <w:jc w:val="both"/>
        <w:rPr>
          <w:rFonts w:ascii="Arial" w:hAnsi="Arial" w:cstheme="minorHAnsi"/>
          <w:sz w:val="22"/>
          <w:szCs w:val="22"/>
        </w:rPr>
      </w:pPr>
      <w:r w:rsidRPr="00D506DE">
        <w:rPr>
          <w:rFonts w:ascii="Arial" w:hAnsi="Arial" w:cstheme="minorHAnsi"/>
          <w:sz w:val="22"/>
          <w:szCs w:val="22"/>
        </w:rPr>
        <w:t>Ideally, ensuite additions should be as recessive from the front of the dwellings as possible (one room in depth) and at the very least setback least 1 metre from the main front wall plane as well as at least 1 metre from the front wall plane of the immediately neighbouring dwelling.  The latter might be possible where the ensuite addition may be partially disguised by a closely adjacent neighbouring dwelling.</w:t>
      </w:r>
    </w:p>
    <w:p w14:paraId="7A658019" w14:textId="28E3FA2C" w:rsidR="006515CD" w:rsidRPr="00D506DE" w:rsidRDefault="00E9635A" w:rsidP="00E9635A">
      <w:pPr>
        <w:spacing w:after="200" w:line="240" w:lineRule="auto"/>
        <w:ind w:left="142" w:right="142"/>
        <w:jc w:val="both"/>
        <w:rPr>
          <w:rFonts w:ascii="Arial" w:hAnsi="Arial" w:cstheme="minorHAnsi"/>
          <w:sz w:val="22"/>
          <w:szCs w:val="22"/>
        </w:rPr>
      </w:pPr>
      <w:r w:rsidRPr="00D506DE">
        <w:rPr>
          <w:rFonts w:ascii="Arial" w:hAnsi="Arial" w:cstheme="minorHAnsi"/>
          <w:noProof/>
          <w:sz w:val="22"/>
        </w:rPr>
        <mc:AlternateContent>
          <mc:Choice Requires="wps">
            <w:drawing>
              <wp:anchor distT="0" distB="0" distL="114300" distR="114300" simplePos="0" relativeHeight="251658241" behindDoc="0" locked="0" layoutInCell="1" allowOverlap="1" wp14:anchorId="60990888" wp14:editId="514940B8">
                <wp:simplePos x="0" y="0"/>
                <wp:positionH relativeFrom="column">
                  <wp:posOffset>4412978</wp:posOffset>
                </wp:positionH>
                <wp:positionV relativeFrom="paragraph">
                  <wp:posOffset>1627052</wp:posOffset>
                </wp:positionV>
                <wp:extent cx="928522" cy="1271451"/>
                <wp:effectExtent l="0" t="0" r="24130" b="24130"/>
                <wp:wrapNone/>
                <wp:docPr id="2" name="Oval 2"/>
                <wp:cNvGraphicFramePr/>
                <a:graphic xmlns:a="http://schemas.openxmlformats.org/drawingml/2006/main">
                  <a:graphicData uri="http://schemas.microsoft.com/office/word/2010/wordprocessingShape">
                    <wps:wsp>
                      <wps:cNvSpPr/>
                      <wps:spPr>
                        <a:xfrm>
                          <a:off x="0" y="0"/>
                          <a:ext cx="928522" cy="1271451"/>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F11894" id="Oval 2" o:spid="_x0000_s1026" style="position:absolute;margin-left:347.5pt;margin-top:128.1pt;width:73.1pt;height:100.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dirhAIAAGsFAAAOAAAAZHJzL2Uyb0RvYy54bWysVE1v2zAMvQ/YfxB0Xx0bydoGdYqgRYYB&#10;RVs0HXpWZCkWIIuapMTJfv0o+SPBWuwwzAdZEslH8onkze2h0WQvnFdgSppfTCgRhkOlzLakP15X&#10;X64o8YGZimkwoqRH4ent4vOnm9bORQE16Eo4giDGz1tb0joEO88yz2vRMH8BVhgUSnANC3h026xy&#10;rEX0RmfFZPI1a8FV1gEX3uPtfSeki4QvpeDhSUovAtElxdhCWl1aN3HNFjdsvnXM1or3YbB/iKJh&#10;yqDTEeqeBUZ2Tr2DahR34EGGCw5NBlIqLlIOmE0++SObdc2sSLkgOd6ONPn/B8sf92v77JCG1vq5&#10;x23M4iBdE/8YHzkkso4jWeIQCMfL6+JqVhSUcBTlxWU+neWRzexkbZ0P3wQ0JG5KKrRW1sd82Jzt&#10;H3zotAeteG1gpbROb6INadHJrJglAw9aVVEY1bzbbu60I3uGr7paTfDrXZ+pYSDaYDynvNIuHLWI&#10;GNq8CElUhZkUnYdYcmKEZZwLE/JOVLNKdN5m584Gi5R1AozIEqMcsXuAQbMDGbA7Anr9aCpSxY7G&#10;k78F1hmPFskzmDAaN8qA+whAY1a9505/IKmjJrK0ger47IiDrl+85SuFb/jAfHhmDhsEWwmbPjzh&#10;IjXgQ0G/o6QG9+uj+6iPdYtSSlpsuJL6nzvmBCX6u8GKvs6n09ih6TCdXRZ4cOeSzbnE7Jo7wNfP&#10;cbxYnrZRP+hhKx00bzgbltEripjh6LukPLjhcBe6QYDThYvlMqlhV1oWHsza8ggeWY0F+np4Y872&#10;hRywBR5haM53xdzpRksDy10AqVKln3jt+caOToXTT584Ms7PSes0Ixe/AQAA//8DAFBLAwQUAAYA&#10;CAAAACEANsx8t+IAAAALAQAADwAAAGRycy9kb3ducmV2LnhtbEyPwUrDQBCG74LvsIzgzW4aklhj&#10;NkULBQ9StBbB2zS7JsHd2ZjdttGndzzpbYb5+eb7q+XkrDiaMfSeFMxnCQhDjdc9tQp2L+urBYgQ&#10;kTRaT0bBlwmwrM/PKiy1P9GzOW5jKxhCoUQFXYxDKWVoOuMwzPxgiG/vfnQYeR1bqUc8MdxZmSZJ&#10;IR32xB86HMyqM83H9uAUpP71Qd9bXG8enz5Xu7fvbCOvvVKXF9PdLYhopvgXhl99Voeanfb+QDoI&#10;q6C4yblLZFhepCA4scjmPOwVZHmRgawr+b9D/QMAAP//AwBQSwECLQAUAAYACAAAACEAtoM4kv4A&#10;AADhAQAAEwAAAAAAAAAAAAAAAAAAAAAAW0NvbnRlbnRfVHlwZXNdLnhtbFBLAQItABQABgAIAAAA&#10;IQA4/SH/1gAAAJQBAAALAAAAAAAAAAAAAAAAAC8BAABfcmVscy8ucmVsc1BLAQItABQABgAIAAAA&#10;IQDoRdirhAIAAGsFAAAOAAAAAAAAAAAAAAAAAC4CAABkcnMvZTJvRG9jLnhtbFBLAQItABQABgAI&#10;AAAAIQA2zHy34gAAAAsBAAAPAAAAAAAAAAAAAAAAAN4EAABkcnMvZG93bnJldi54bWxQSwUGAAAA&#10;AAQABADzAAAA7QUAAAAA&#10;" filled="f" strokecolor="red"/>
            </w:pict>
          </mc:Fallback>
        </mc:AlternateContent>
      </w:r>
      <w:r w:rsidR="006515CD" w:rsidRPr="00D506DE">
        <w:rPr>
          <w:rFonts w:ascii="Arial" w:hAnsi="Arial" w:cstheme="minorHAnsi"/>
          <w:sz w:val="22"/>
          <w:szCs w:val="22"/>
        </w:rPr>
        <w:t>Consideration should also be given to connecting the ensuite addition under the existing significant eaves so that the integrity of the existing eaves can be retained.</w:t>
      </w:r>
    </w:p>
    <w:tbl>
      <w:tblPr>
        <w:tblW w:w="0" w:type="auto"/>
        <w:jc w:val="center"/>
        <w:tblLayout w:type="fixed"/>
        <w:tblLook w:val="04A0" w:firstRow="1" w:lastRow="0" w:firstColumn="1" w:lastColumn="0" w:noHBand="0" w:noVBand="1"/>
      </w:tblPr>
      <w:tblGrid>
        <w:gridCol w:w="6096"/>
      </w:tblGrid>
      <w:tr w:rsidR="00086C5A" w:rsidRPr="00D506DE" w14:paraId="5460FF20" w14:textId="77777777" w:rsidTr="002705AC">
        <w:trPr>
          <w:jc w:val="center"/>
        </w:trPr>
        <w:tc>
          <w:tcPr>
            <w:tcW w:w="6096" w:type="dxa"/>
          </w:tcPr>
          <w:p w14:paraId="556665EC" w14:textId="70DB51F4" w:rsidR="00086C5A" w:rsidRPr="00D506DE" w:rsidRDefault="000E3A31" w:rsidP="00CB6F4C">
            <w:pPr>
              <w:spacing w:line="240" w:lineRule="auto"/>
              <w:ind w:right="142"/>
              <w:rPr>
                <w:rFonts w:ascii="Arial" w:hAnsi="Arial" w:cstheme="minorHAnsi"/>
                <w:sz w:val="22"/>
                <w:szCs w:val="22"/>
              </w:rPr>
            </w:pPr>
            <w:r w:rsidRPr="00D506DE">
              <w:rPr>
                <w:rFonts w:ascii="Arial" w:hAnsi="Arial" w:cstheme="minorHAnsi"/>
                <w:noProof/>
                <w:sz w:val="22"/>
              </w:rPr>
              <w:drawing>
                <wp:inline distT="0" distB="0" distL="0" distR="0" wp14:anchorId="5EC12BEF" wp14:editId="20CE3A8A">
                  <wp:extent cx="3701890" cy="2448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01890" cy="2448000"/>
                          </a:xfrm>
                          <a:prstGeom prst="rect">
                            <a:avLst/>
                          </a:prstGeom>
                        </pic:spPr>
                      </pic:pic>
                    </a:graphicData>
                  </a:graphic>
                </wp:inline>
              </w:drawing>
            </w:r>
          </w:p>
        </w:tc>
      </w:tr>
      <w:tr w:rsidR="00086C5A" w:rsidRPr="00D506DE" w14:paraId="2F173062" w14:textId="77777777" w:rsidTr="002705AC">
        <w:trPr>
          <w:jc w:val="center"/>
        </w:trPr>
        <w:tc>
          <w:tcPr>
            <w:tcW w:w="6096" w:type="dxa"/>
          </w:tcPr>
          <w:p w14:paraId="28285A26" w14:textId="1ADD8DE9" w:rsidR="00B2085D" w:rsidRPr="00D506DE" w:rsidRDefault="00B2085D" w:rsidP="00A605AC">
            <w:pPr>
              <w:spacing w:before="120" w:line="240" w:lineRule="auto"/>
              <w:ind w:right="35"/>
              <w:jc w:val="both"/>
              <w:rPr>
                <w:rFonts w:ascii="Arial" w:hAnsi="Arial" w:cstheme="minorHAnsi"/>
                <w:bCs/>
                <w:szCs w:val="16"/>
              </w:rPr>
            </w:pPr>
            <w:r w:rsidRPr="00D506DE">
              <w:rPr>
                <w:rFonts w:ascii="Arial" w:hAnsi="Arial" w:cstheme="minorHAnsi"/>
                <w:bCs/>
                <w:szCs w:val="16"/>
              </w:rPr>
              <w:t>Side ensuite addition located under the eave and set back from the front (circled).</w:t>
            </w:r>
            <w:r w:rsidR="004A625C" w:rsidRPr="00D506DE">
              <w:rPr>
                <w:rFonts w:ascii="Arial" w:hAnsi="Arial" w:cstheme="minorHAnsi"/>
                <w:bCs/>
                <w:szCs w:val="16"/>
              </w:rPr>
              <w:t xml:space="preserve">  </w:t>
            </w:r>
            <w:r w:rsidRPr="00D506DE">
              <w:rPr>
                <w:rFonts w:ascii="Arial" w:hAnsi="Arial" w:cstheme="minorHAnsi"/>
                <w:bCs/>
                <w:szCs w:val="16"/>
              </w:rPr>
              <w:t>Source: Dr David Rowe.</w:t>
            </w:r>
          </w:p>
        </w:tc>
      </w:tr>
    </w:tbl>
    <w:p w14:paraId="7C049F1C" w14:textId="77777777" w:rsidR="00DE323A" w:rsidRPr="00D506DE" w:rsidRDefault="00DE323A" w:rsidP="007924DE">
      <w:pPr>
        <w:spacing w:line="240" w:lineRule="auto"/>
        <w:ind w:left="142" w:right="142"/>
        <w:rPr>
          <w:rFonts w:ascii="Arial" w:hAnsi="Arial" w:cstheme="minorHAnsi"/>
          <w:sz w:val="16"/>
          <w:szCs w:val="12"/>
        </w:rPr>
      </w:pPr>
    </w:p>
    <w:p w14:paraId="199452A4" w14:textId="26E7531D" w:rsidR="00B2085D" w:rsidRPr="00D506DE" w:rsidRDefault="00B2085D" w:rsidP="007924DE">
      <w:pPr>
        <w:pStyle w:val="Heading1"/>
        <w:spacing w:before="0" w:after="200"/>
        <w:ind w:left="142" w:right="141"/>
        <w:jc w:val="both"/>
        <w:rPr>
          <w:rFonts w:ascii="Arial" w:hAnsi="Arial" w:cs="Arial"/>
          <w:caps w:val="0"/>
          <w:szCs w:val="22"/>
        </w:rPr>
      </w:pPr>
      <w:r w:rsidRPr="00D506DE">
        <w:rPr>
          <w:rFonts w:ascii="Arial" w:hAnsi="Arial" w:cs="Arial"/>
          <w:caps w:val="0"/>
          <w:szCs w:val="22"/>
        </w:rPr>
        <w:t>Attic Additions</w:t>
      </w:r>
    </w:p>
    <w:p w14:paraId="4A1739E7" w14:textId="02E493E6" w:rsidR="00BB3F49" w:rsidRPr="00D506DE" w:rsidRDefault="00BB3F49" w:rsidP="00E9635A">
      <w:pPr>
        <w:spacing w:after="200" w:line="240" w:lineRule="auto"/>
        <w:ind w:left="142" w:right="142"/>
        <w:jc w:val="both"/>
        <w:rPr>
          <w:rFonts w:ascii="Arial" w:hAnsi="Arial" w:cstheme="minorHAnsi"/>
          <w:sz w:val="22"/>
        </w:rPr>
      </w:pPr>
      <w:r w:rsidRPr="00D506DE">
        <w:rPr>
          <w:rFonts w:ascii="Arial" w:hAnsi="Arial" w:cstheme="minorHAnsi"/>
          <w:sz w:val="22"/>
        </w:rPr>
        <w:t xml:space="preserve">Given the broad and steep roof forms of </w:t>
      </w:r>
      <w:proofErr w:type="gramStart"/>
      <w:r w:rsidRPr="00D506DE">
        <w:rPr>
          <w:rFonts w:ascii="Arial" w:hAnsi="Arial" w:cstheme="minorHAnsi"/>
          <w:sz w:val="22"/>
        </w:rPr>
        <w:t>a number of</w:t>
      </w:r>
      <w:proofErr w:type="gramEnd"/>
      <w:r w:rsidRPr="00D506DE">
        <w:rPr>
          <w:rFonts w:ascii="Arial" w:hAnsi="Arial" w:cstheme="minorHAnsi"/>
          <w:sz w:val="22"/>
        </w:rPr>
        <w:t xml:space="preserve"> heritage houses, attic additions can often be successfully integrated without overwhelming the original style of the house. The construction of minor projecting architectural elements in the form of attic dormers or attic windows can often provide a successful design solution for the need for more space without greatly compromising the existing character and appearance of the house.  The most successful attic additions are where any projecting dormer windows are located on the rear or side roof faces.</w:t>
      </w:r>
    </w:p>
    <w:tbl>
      <w:tblPr>
        <w:tblW w:w="0" w:type="auto"/>
        <w:jc w:val="center"/>
        <w:tblLayout w:type="fixed"/>
        <w:tblLook w:val="04A0" w:firstRow="1" w:lastRow="0" w:firstColumn="1" w:lastColumn="0" w:noHBand="0" w:noVBand="1"/>
      </w:tblPr>
      <w:tblGrid>
        <w:gridCol w:w="5529"/>
      </w:tblGrid>
      <w:tr w:rsidR="007924DE" w:rsidRPr="00D506DE" w14:paraId="42434A62" w14:textId="77777777" w:rsidTr="002705AC">
        <w:trPr>
          <w:jc w:val="center"/>
        </w:trPr>
        <w:tc>
          <w:tcPr>
            <w:tcW w:w="5529" w:type="dxa"/>
          </w:tcPr>
          <w:p w14:paraId="74AD953D" w14:textId="1CA2650D" w:rsidR="007924DE" w:rsidRPr="00D506DE" w:rsidRDefault="002705AC" w:rsidP="00CB6F4C">
            <w:pPr>
              <w:spacing w:line="240" w:lineRule="auto"/>
              <w:ind w:right="142"/>
              <w:rPr>
                <w:rFonts w:ascii="Arial" w:hAnsi="Arial" w:cstheme="minorHAnsi"/>
                <w:sz w:val="22"/>
                <w:szCs w:val="22"/>
              </w:rPr>
            </w:pPr>
            <w:r w:rsidRPr="00D506DE">
              <w:rPr>
                <w:rFonts w:ascii="Arial" w:hAnsi="Arial" w:cs="Calibri"/>
                <w:noProof/>
              </w:rPr>
              <w:drawing>
                <wp:inline distT="0" distB="0" distL="0" distR="0" wp14:anchorId="1D0B6EBA" wp14:editId="7B22F1F4">
                  <wp:extent cx="3371941" cy="2520000"/>
                  <wp:effectExtent l="0" t="0" r="0" b="0"/>
                  <wp:docPr id="71" name="Picture 71" descr="30 Drumcondra Ave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0 Drumcondra Ave_resize"/>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71941" cy="2520000"/>
                          </a:xfrm>
                          <a:prstGeom prst="rect">
                            <a:avLst/>
                          </a:prstGeom>
                          <a:noFill/>
                          <a:ln>
                            <a:noFill/>
                          </a:ln>
                        </pic:spPr>
                      </pic:pic>
                    </a:graphicData>
                  </a:graphic>
                </wp:inline>
              </w:drawing>
            </w:r>
          </w:p>
        </w:tc>
      </w:tr>
      <w:tr w:rsidR="007924DE" w:rsidRPr="00D506DE" w14:paraId="1EF958D4" w14:textId="77777777" w:rsidTr="002705AC">
        <w:trPr>
          <w:jc w:val="center"/>
        </w:trPr>
        <w:tc>
          <w:tcPr>
            <w:tcW w:w="5529" w:type="dxa"/>
          </w:tcPr>
          <w:p w14:paraId="2A8969F2" w14:textId="330E1327" w:rsidR="007924DE" w:rsidRPr="00D506DE" w:rsidRDefault="00BC3ECB" w:rsidP="00CB6F4C">
            <w:pPr>
              <w:spacing w:before="120" w:line="240" w:lineRule="auto"/>
              <w:ind w:right="-102"/>
              <w:jc w:val="both"/>
              <w:rPr>
                <w:rFonts w:ascii="Arial" w:hAnsi="Arial" w:cstheme="minorHAnsi"/>
                <w:bCs/>
                <w:szCs w:val="16"/>
              </w:rPr>
            </w:pPr>
            <w:r w:rsidRPr="00D506DE">
              <w:rPr>
                <w:rFonts w:ascii="Arial" w:hAnsi="Arial" w:cstheme="minorHAnsi"/>
                <w:bCs/>
                <w:szCs w:val="16"/>
              </w:rPr>
              <w:t>Attic additions to a bungalow in Drumcondra.</w:t>
            </w:r>
          </w:p>
          <w:p w14:paraId="70DB0FC8" w14:textId="7657722E" w:rsidR="007924DE" w:rsidRPr="00D506DE" w:rsidRDefault="007924DE" w:rsidP="00E9635A">
            <w:pPr>
              <w:spacing w:line="240" w:lineRule="auto"/>
              <w:ind w:right="-103"/>
              <w:jc w:val="both"/>
              <w:rPr>
                <w:rFonts w:ascii="Arial" w:hAnsi="Arial" w:cstheme="minorHAnsi"/>
                <w:bCs/>
                <w:szCs w:val="16"/>
              </w:rPr>
            </w:pPr>
            <w:r w:rsidRPr="00D506DE">
              <w:rPr>
                <w:rFonts w:ascii="Arial" w:hAnsi="Arial" w:cstheme="minorHAnsi"/>
                <w:bCs/>
                <w:szCs w:val="16"/>
              </w:rPr>
              <w:t>Source: Dr David Rowe.</w:t>
            </w:r>
          </w:p>
        </w:tc>
      </w:tr>
    </w:tbl>
    <w:p w14:paraId="254CDB00" w14:textId="77777777" w:rsidR="002705AC" w:rsidRPr="00D506DE" w:rsidRDefault="002705AC" w:rsidP="002705AC">
      <w:pPr>
        <w:spacing w:line="260" w:lineRule="atLeast"/>
        <w:rPr>
          <w:rFonts w:ascii="Arial" w:hAnsi="Arial" w:cstheme="minorHAnsi"/>
          <w:sz w:val="22"/>
        </w:rPr>
      </w:pPr>
      <w:r w:rsidRPr="00D506DE">
        <w:rPr>
          <w:rFonts w:ascii="Arial" w:hAnsi="Arial" w:cstheme="minorHAnsi"/>
          <w:sz w:val="22"/>
        </w:rPr>
        <w:br w:type="page"/>
      </w:r>
    </w:p>
    <w:p w14:paraId="3AEAD8A8" w14:textId="4D236C04" w:rsidR="00F633E3" w:rsidRPr="00D506DE" w:rsidRDefault="00F633E3" w:rsidP="00F633E3">
      <w:pPr>
        <w:pStyle w:val="Heading1"/>
        <w:spacing w:before="0" w:after="200"/>
        <w:ind w:left="142" w:right="141"/>
        <w:jc w:val="both"/>
        <w:rPr>
          <w:rFonts w:ascii="Arial" w:hAnsi="Arial" w:cs="Arial"/>
          <w:caps w:val="0"/>
          <w:szCs w:val="22"/>
        </w:rPr>
      </w:pPr>
      <w:r w:rsidRPr="00D506DE">
        <w:rPr>
          <w:rFonts w:ascii="Arial" w:hAnsi="Arial" w:cs="Arial"/>
          <w:caps w:val="0"/>
          <w:szCs w:val="22"/>
        </w:rPr>
        <w:lastRenderedPageBreak/>
        <w:t>Two Storey Additions</w:t>
      </w:r>
    </w:p>
    <w:p w14:paraId="65E5358A" w14:textId="0954E651" w:rsidR="004748A0" w:rsidRPr="00D506DE" w:rsidRDefault="00F633E3" w:rsidP="00397FC3">
      <w:pPr>
        <w:spacing w:after="240"/>
        <w:ind w:left="142" w:right="141"/>
        <w:rPr>
          <w:rFonts w:ascii="Arial" w:hAnsi="Arial" w:cstheme="minorHAnsi"/>
          <w:sz w:val="22"/>
        </w:rPr>
      </w:pPr>
      <w:r w:rsidRPr="00D506DE">
        <w:rPr>
          <w:rFonts w:ascii="Arial" w:hAnsi="Arial" w:cstheme="minorHAnsi"/>
          <w:sz w:val="22"/>
        </w:rPr>
        <w:t xml:space="preserve">Most of the Heritage Design Guidelines encourage </w:t>
      </w:r>
      <w:r w:rsidR="004748A0" w:rsidRPr="00D506DE">
        <w:rPr>
          <w:rFonts w:ascii="Arial" w:hAnsi="Arial" w:cstheme="minorHAnsi"/>
          <w:sz w:val="22"/>
        </w:rPr>
        <w:t>single storey building heights. Yet, the Planning Policy Framework (clause 15.03-1L) states that development should be consistent with the</w:t>
      </w:r>
      <w:r w:rsidR="00EE5C6F" w:rsidRPr="00D506DE">
        <w:rPr>
          <w:rFonts w:ascii="Arial" w:hAnsi="Arial" w:cstheme="minorHAnsi"/>
          <w:sz w:val="22"/>
        </w:rPr>
        <w:t xml:space="preserve"> </w:t>
      </w:r>
      <w:r w:rsidR="00260BFB">
        <w:rPr>
          <w:rFonts w:ascii="Arial" w:hAnsi="Arial" w:cstheme="minorHAnsi"/>
          <w:sz w:val="22"/>
        </w:rPr>
        <w:t>City of Greater</w:t>
      </w:r>
      <w:r w:rsidR="00EE5C6F" w:rsidRPr="00D506DE">
        <w:rPr>
          <w:rFonts w:ascii="Arial" w:hAnsi="Arial" w:cstheme="minorHAnsi"/>
          <w:sz w:val="22"/>
        </w:rPr>
        <w:t xml:space="preserve"> Heritage</w:t>
      </w:r>
      <w:r w:rsidR="00554F49" w:rsidRPr="00D506DE">
        <w:rPr>
          <w:rFonts w:ascii="Arial" w:hAnsi="Arial" w:cstheme="minorHAnsi"/>
          <w:sz w:val="22"/>
        </w:rPr>
        <w:t xml:space="preserve"> and Design Guidelines</w:t>
      </w:r>
      <w:r w:rsidR="00260BFB">
        <w:rPr>
          <w:rFonts w:ascii="Arial" w:hAnsi="Arial" w:cstheme="minorHAnsi"/>
          <w:sz w:val="22"/>
        </w:rPr>
        <w:t xml:space="preserve"> (1997)</w:t>
      </w:r>
      <w:r w:rsidR="00EE5C6F" w:rsidRPr="00D506DE">
        <w:rPr>
          <w:rFonts w:ascii="Arial" w:hAnsi="Arial" w:cstheme="minorHAnsi"/>
          <w:sz w:val="22"/>
        </w:rPr>
        <w:t>.</w:t>
      </w:r>
    </w:p>
    <w:p w14:paraId="712CA14C" w14:textId="213992B2" w:rsidR="00397FC3" w:rsidRPr="00D506DE" w:rsidRDefault="00397FC3" w:rsidP="009B2A8B">
      <w:pPr>
        <w:spacing w:after="240" w:line="240" w:lineRule="auto"/>
        <w:ind w:left="142" w:right="142"/>
        <w:jc w:val="both"/>
        <w:rPr>
          <w:rFonts w:ascii="Arial" w:hAnsi="Arial" w:cstheme="minorHAnsi"/>
          <w:sz w:val="22"/>
        </w:rPr>
      </w:pPr>
      <w:r w:rsidRPr="00D506DE">
        <w:rPr>
          <w:rFonts w:ascii="Arial" w:hAnsi="Arial" w:cstheme="minorHAnsi"/>
          <w:sz w:val="22"/>
        </w:rPr>
        <w:t xml:space="preserve">The Heritage and Design Guidelines indicate that the most successful two storey additions are designed where the front three-dimensional form, scale, bulk, </w:t>
      </w:r>
      <w:proofErr w:type="gramStart"/>
      <w:r w:rsidRPr="00D506DE">
        <w:rPr>
          <w:rFonts w:ascii="Arial" w:hAnsi="Arial" w:cstheme="minorHAnsi"/>
          <w:sz w:val="22"/>
        </w:rPr>
        <w:t>massing</w:t>
      </w:r>
      <w:proofErr w:type="gramEnd"/>
      <w:r w:rsidRPr="00D506DE">
        <w:rPr>
          <w:rFonts w:ascii="Arial" w:hAnsi="Arial" w:cstheme="minorHAnsi"/>
          <w:sz w:val="22"/>
        </w:rPr>
        <w:t xml:space="preserve"> and details of the existing heritage house are retained as the dominant features, with the new work being highly recessive from the front and also from the sides of the existing building (where the additions are above the rear of the existing building). In particular, the Guidelines state:</w:t>
      </w:r>
    </w:p>
    <w:p w14:paraId="7C0C667C" w14:textId="0848EF3A" w:rsidR="00397FC3" w:rsidRPr="00D506DE" w:rsidRDefault="00397FC3" w:rsidP="009B2A8B">
      <w:pPr>
        <w:pStyle w:val="ListParagraph"/>
        <w:numPr>
          <w:ilvl w:val="0"/>
          <w:numId w:val="46"/>
        </w:numPr>
        <w:ind w:left="1134" w:right="142" w:hanging="567"/>
        <w:contextualSpacing w:val="0"/>
        <w:jc w:val="both"/>
        <w:rPr>
          <w:rFonts w:cstheme="minorHAnsi"/>
          <w:sz w:val="22"/>
        </w:rPr>
      </w:pPr>
      <w:r w:rsidRPr="00D506DE">
        <w:rPr>
          <w:rFonts w:cstheme="minorHAnsi"/>
          <w:sz w:val="22"/>
        </w:rPr>
        <w:t xml:space="preserve">The second floor addition must not dominate the existing building. The building is significant because of its existing </w:t>
      </w:r>
      <w:proofErr w:type="gramStart"/>
      <w:r w:rsidRPr="00D506DE">
        <w:rPr>
          <w:rFonts w:cstheme="minorHAnsi"/>
          <w:sz w:val="22"/>
        </w:rPr>
        <w:t>character</w:t>
      </w:r>
      <w:proofErr w:type="gramEnd"/>
      <w:r w:rsidRPr="00D506DE">
        <w:rPr>
          <w:rFonts w:cstheme="minorHAnsi"/>
          <w:sz w:val="22"/>
        </w:rPr>
        <w:t xml:space="preserve"> and this should not be overwhelmed.</w:t>
      </w:r>
    </w:p>
    <w:p w14:paraId="5EAF7FFE" w14:textId="77777777" w:rsidR="00131977" w:rsidRPr="00D506DE" w:rsidRDefault="00131977" w:rsidP="00131977">
      <w:pPr>
        <w:ind w:left="142" w:right="142"/>
        <w:jc w:val="both"/>
        <w:rPr>
          <w:rFonts w:ascii="Arial" w:hAnsi="Arial" w:cstheme="minorHAnsi"/>
          <w:sz w:val="22"/>
        </w:rPr>
      </w:pPr>
    </w:p>
    <w:p w14:paraId="02C4AD12" w14:textId="59BB7A1F" w:rsidR="00397FC3" w:rsidRPr="00D506DE" w:rsidRDefault="00397FC3" w:rsidP="009B2A8B">
      <w:pPr>
        <w:pStyle w:val="ListParagraph"/>
        <w:numPr>
          <w:ilvl w:val="0"/>
          <w:numId w:val="46"/>
        </w:numPr>
        <w:ind w:left="1134" w:right="142" w:hanging="567"/>
        <w:contextualSpacing w:val="0"/>
        <w:jc w:val="both"/>
        <w:rPr>
          <w:rFonts w:cstheme="minorHAnsi"/>
          <w:sz w:val="22"/>
        </w:rPr>
      </w:pPr>
      <w:r w:rsidRPr="00D506DE">
        <w:rPr>
          <w:rFonts w:cstheme="minorHAnsi"/>
          <w:sz w:val="22"/>
        </w:rPr>
        <w:t xml:space="preserve">The second storey additions must be sited well back from the street facade. This should be </w:t>
      </w:r>
      <w:proofErr w:type="gramStart"/>
      <w:r w:rsidRPr="00D506DE">
        <w:rPr>
          <w:rFonts w:cstheme="minorHAnsi"/>
          <w:sz w:val="22"/>
        </w:rPr>
        <w:t>a distance of about</w:t>
      </w:r>
      <w:proofErr w:type="gramEnd"/>
      <w:r w:rsidRPr="00D506DE">
        <w:rPr>
          <w:rFonts w:cstheme="minorHAnsi"/>
          <w:sz w:val="22"/>
        </w:rPr>
        <w:t xml:space="preserve"> five metres, or back to a transverse ridge line or intersecting gable.</w:t>
      </w:r>
    </w:p>
    <w:p w14:paraId="4C8E000B" w14:textId="08AAF8BB" w:rsidR="00131977" w:rsidRPr="00D506DE" w:rsidRDefault="00131977" w:rsidP="00131977">
      <w:pPr>
        <w:ind w:left="142" w:right="142"/>
        <w:jc w:val="both"/>
        <w:rPr>
          <w:rFonts w:ascii="Arial" w:hAnsi="Arial" w:cstheme="minorHAnsi"/>
          <w:sz w:val="22"/>
        </w:rPr>
      </w:pPr>
    </w:p>
    <w:p w14:paraId="4E302F21" w14:textId="7154C750" w:rsidR="00397FC3" w:rsidRPr="00D506DE" w:rsidRDefault="00397FC3" w:rsidP="009B2A8B">
      <w:pPr>
        <w:pStyle w:val="ListParagraph"/>
        <w:numPr>
          <w:ilvl w:val="0"/>
          <w:numId w:val="46"/>
        </w:numPr>
        <w:ind w:left="1134" w:right="142" w:hanging="567"/>
        <w:contextualSpacing w:val="0"/>
        <w:jc w:val="both"/>
        <w:rPr>
          <w:rFonts w:cstheme="minorHAnsi"/>
          <w:sz w:val="22"/>
        </w:rPr>
      </w:pPr>
      <w:r w:rsidRPr="00D506DE">
        <w:rPr>
          <w:rFonts w:cstheme="minorHAnsi"/>
          <w:sz w:val="22"/>
        </w:rPr>
        <w:t>A set back from the side walls of the existing building is also required. This creates subservient proportions for the second storey.</w:t>
      </w:r>
    </w:p>
    <w:p w14:paraId="37902041" w14:textId="77777777" w:rsidR="00131977" w:rsidRPr="00D506DE" w:rsidRDefault="00131977" w:rsidP="00131977">
      <w:pPr>
        <w:ind w:left="142" w:right="142"/>
        <w:jc w:val="both"/>
        <w:rPr>
          <w:rFonts w:ascii="Arial" w:hAnsi="Arial" w:cstheme="minorHAnsi"/>
          <w:sz w:val="22"/>
        </w:rPr>
      </w:pPr>
    </w:p>
    <w:p w14:paraId="298CE98C" w14:textId="0BA5C3CA" w:rsidR="00397FC3" w:rsidRPr="00D506DE" w:rsidRDefault="00397FC3" w:rsidP="009B2A8B">
      <w:pPr>
        <w:pStyle w:val="ListParagraph"/>
        <w:numPr>
          <w:ilvl w:val="0"/>
          <w:numId w:val="46"/>
        </w:numPr>
        <w:ind w:left="1134" w:right="142" w:hanging="567"/>
        <w:contextualSpacing w:val="0"/>
        <w:jc w:val="both"/>
        <w:rPr>
          <w:rFonts w:cstheme="minorHAnsi"/>
          <w:sz w:val="22"/>
        </w:rPr>
      </w:pPr>
      <w:r w:rsidRPr="00D506DE">
        <w:rPr>
          <w:rFonts w:cstheme="minorHAnsi"/>
          <w:sz w:val="22"/>
        </w:rPr>
        <w:t>The roof form of the addition should match the existing. Getting the pitch and the roof cladding material to match are essential. The complexity of the form of the addition should also match the existing building.</w:t>
      </w:r>
    </w:p>
    <w:p w14:paraId="4599E914" w14:textId="77777777" w:rsidR="00131977" w:rsidRPr="00D506DE" w:rsidRDefault="00131977" w:rsidP="00131977">
      <w:pPr>
        <w:ind w:left="142" w:right="142"/>
        <w:jc w:val="both"/>
        <w:rPr>
          <w:rFonts w:ascii="Arial" w:hAnsi="Arial" w:cstheme="minorHAnsi"/>
          <w:sz w:val="22"/>
        </w:rPr>
      </w:pPr>
    </w:p>
    <w:p w14:paraId="1DE86133" w14:textId="13EF7D24" w:rsidR="00397FC3" w:rsidRPr="00D506DE" w:rsidRDefault="00397FC3" w:rsidP="00537B75">
      <w:pPr>
        <w:pStyle w:val="ListParagraph"/>
        <w:numPr>
          <w:ilvl w:val="0"/>
          <w:numId w:val="46"/>
        </w:numPr>
        <w:spacing w:after="240"/>
        <w:ind w:left="1134" w:right="142" w:hanging="567"/>
        <w:contextualSpacing w:val="0"/>
        <w:jc w:val="both"/>
        <w:rPr>
          <w:rFonts w:cstheme="minorHAnsi"/>
          <w:sz w:val="22"/>
        </w:rPr>
      </w:pPr>
      <w:r w:rsidRPr="00D506DE">
        <w:rPr>
          <w:rFonts w:cstheme="minorHAnsi"/>
          <w:sz w:val="22"/>
        </w:rPr>
        <w:t>Materials and finishes for additions should reflect the existing building. It is not always necessary to copy the existing.</w:t>
      </w:r>
    </w:p>
    <w:p w14:paraId="62D0FF2B" w14:textId="77777777" w:rsidR="00397FC3" w:rsidRPr="00D506DE" w:rsidRDefault="00397FC3" w:rsidP="009F64EF">
      <w:pPr>
        <w:spacing w:after="240" w:line="360" w:lineRule="atLeast"/>
        <w:ind w:left="142" w:right="141"/>
        <w:jc w:val="both"/>
        <w:rPr>
          <w:rFonts w:ascii="Arial" w:hAnsi="Arial" w:cstheme="minorHAnsi"/>
          <w:sz w:val="22"/>
        </w:rPr>
      </w:pPr>
      <w:r w:rsidRPr="00D506DE">
        <w:rPr>
          <w:rFonts w:ascii="Arial" w:hAnsi="Arial" w:cstheme="minorHAnsi"/>
          <w:sz w:val="22"/>
        </w:rPr>
        <w:t>Successful examples are:</w:t>
      </w:r>
    </w:p>
    <w:tbl>
      <w:tblPr>
        <w:tblW w:w="0" w:type="auto"/>
        <w:jc w:val="center"/>
        <w:tblLook w:val="04A0" w:firstRow="1" w:lastRow="0" w:firstColumn="1" w:lastColumn="0" w:noHBand="0" w:noVBand="1"/>
      </w:tblPr>
      <w:tblGrid>
        <w:gridCol w:w="5313"/>
        <w:gridCol w:w="4896"/>
      </w:tblGrid>
      <w:tr w:rsidR="00022798" w:rsidRPr="00D506DE" w14:paraId="059BCB2C" w14:textId="77777777" w:rsidTr="009F64EF">
        <w:trPr>
          <w:jc w:val="center"/>
        </w:trPr>
        <w:tc>
          <w:tcPr>
            <w:tcW w:w="5313" w:type="dxa"/>
          </w:tcPr>
          <w:p w14:paraId="13A97AFA" w14:textId="697E408C" w:rsidR="00022798" w:rsidRPr="00D506DE" w:rsidRDefault="00442E43" w:rsidP="00224A84">
            <w:pPr>
              <w:spacing w:line="240" w:lineRule="auto"/>
              <w:ind w:right="142"/>
              <w:rPr>
                <w:rFonts w:ascii="Arial" w:hAnsi="Arial" w:cstheme="minorHAnsi"/>
                <w:sz w:val="22"/>
                <w:szCs w:val="22"/>
              </w:rPr>
            </w:pPr>
            <w:r w:rsidRPr="00D506DE">
              <w:rPr>
                <w:rFonts w:ascii="Arial" w:hAnsi="Arial" w:cstheme="minorHAnsi"/>
                <w:noProof/>
              </w:rPr>
              <w:drawing>
                <wp:inline distT="0" distB="0" distL="0" distR="0" wp14:anchorId="2B7F1D51" wp14:editId="56E22787">
                  <wp:extent cx="3146361" cy="216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46361" cy="2160000"/>
                          </a:xfrm>
                          <a:prstGeom prst="rect">
                            <a:avLst/>
                          </a:prstGeom>
                          <a:noFill/>
                          <a:ln>
                            <a:noFill/>
                          </a:ln>
                        </pic:spPr>
                      </pic:pic>
                    </a:graphicData>
                  </a:graphic>
                </wp:inline>
              </w:drawing>
            </w:r>
          </w:p>
        </w:tc>
        <w:tc>
          <w:tcPr>
            <w:tcW w:w="4888" w:type="dxa"/>
          </w:tcPr>
          <w:p w14:paraId="67DF891B" w14:textId="0A36DA89" w:rsidR="00022798" w:rsidRPr="00D506DE" w:rsidRDefault="00BD17CB" w:rsidP="00224A84">
            <w:pPr>
              <w:spacing w:line="240" w:lineRule="auto"/>
              <w:ind w:right="142"/>
              <w:jc w:val="center"/>
              <w:rPr>
                <w:rFonts w:ascii="Arial" w:hAnsi="Arial" w:cstheme="minorHAnsi"/>
                <w:noProof/>
              </w:rPr>
            </w:pPr>
            <w:r w:rsidRPr="00D506DE">
              <w:rPr>
                <w:rFonts w:ascii="Arial" w:hAnsi="Arial" w:cstheme="minorHAnsi"/>
                <w:noProof/>
                <w:sz w:val="22"/>
                <w:szCs w:val="22"/>
              </w:rPr>
              <w:drawing>
                <wp:inline distT="0" distB="0" distL="0" distR="0" wp14:anchorId="756A62FA" wp14:editId="28D06BEC">
                  <wp:extent cx="2881706" cy="21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1706" cy="2160000"/>
                          </a:xfrm>
                          <a:prstGeom prst="rect">
                            <a:avLst/>
                          </a:prstGeom>
                          <a:noFill/>
                          <a:ln>
                            <a:noFill/>
                          </a:ln>
                        </pic:spPr>
                      </pic:pic>
                    </a:graphicData>
                  </a:graphic>
                </wp:inline>
              </w:drawing>
            </w:r>
          </w:p>
        </w:tc>
      </w:tr>
      <w:tr w:rsidR="00022798" w:rsidRPr="00D506DE" w14:paraId="4A80885D" w14:textId="77777777" w:rsidTr="009F64EF">
        <w:trPr>
          <w:jc w:val="center"/>
        </w:trPr>
        <w:tc>
          <w:tcPr>
            <w:tcW w:w="5313" w:type="dxa"/>
          </w:tcPr>
          <w:p w14:paraId="744851A4" w14:textId="77777777" w:rsidR="00357675" w:rsidRPr="00D506DE" w:rsidRDefault="00002956" w:rsidP="00131977">
            <w:pPr>
              <w:spacing w:before="120" w:line="240" w:lineRule="auto"/>
              <w:rPr>
                <w:rFonts w:ascii="Arial" w:hAnsi="Arial" w:cstheme="minorHAnsi"/>
                <w:szCs w:val="16"/>
              </w:rPr>
            </w:pPr>
            <w:r w:rsidRPr="00D506DE">
              <w:rPr>
                <w:rFonts w:ascii="Arial" w:hAnsi="Arial" w:cstheme="minorHAnsi"/>
                <w:szCs w:val="16"/>
              </w:rPr>
              <w:t>Gabled additions to a hipped and gabled interwar Bungalow.</w:t>
            </w:r>
          </w:p>
          <w:p w14:paraId="2D439BC2" w14:textId="3BF9AC00" w:rsidR="00022798" w:rsidRPr="00D506DE" w:rsidRDefault="00002956" w:rsidP="00224A84">
            <w:pPr>
              <w:spacing w:line="240" w:lineRule="auto"/>
              <w:rPr>
                <w:rFonts w:ascii="Arial" w:hAnsi="Arial" w:cstheme="minorHAnsi"/>
                <w:szCs w:val="16"/>
              </w:rPr>
            </w:pPr>
            <w:r w:rsidRPr="00D506DE">
              <w:rPr>
                <w:rFonts w:ascii="Arial" w:hAnsi="Arial" w:cstheme="minorHAnsi"/>
                <w:szCs w:val="16"/>
              </w:rPr>
              <w:t>Source: Dr David Rowe.</w:t>
            </w:r>
          </w:p>
        </w:tc>
        <w:tc>
          <w:tcPr>
            <w:tcW w:w="4888" w:type="dxa"/>
          </w:tcPr>
          <w:p w14:paraId="15BB38D9" w14:textId="160255D7" w:rsidR="00022798" w:rsidRPr="00D506DE" w:rsidRDefault="002F70A4" w:rsidP="00131977">
            <w:pPr>
              <w:spacing w:before="120" w:line="240" w:lineRule="auto"/>
              <w:rPr>
                <w:rFonts w:ascii="Arial" w:hAnsi="Arial" w:cstheme="minorHAnsi"/>
                <w:szCs w:val="16"/>
              </w:rPr>
            </w:pPr>
            <w:r w:rsidRPr="00D506DE">
              <w:rPr>
                <w:rFonts w:ascii="Arial" w:hAnsi="Arial" w:cstheme="minorHAnsi"/>
                <w:szCs w:val="16"/>
              </w:rPr>
              <w:t>Hipped additions to an Edwardian dwelling where the principal roof form is a hip.  Source: Dr David Rowe.</w:t>
            </w:r>
          </w:p>
        </w:tc>
      </w:tr>
    </w:tbl>
    <w:p w14:paraId="6C9CFF4A" w14:textId="77777777" w:rsidR="00131977" w:rsidRPr="00D506DE" w:rsidRDefault="00131977" w:rsidP="009F64EF">
      <w:pPr>
        <w:pStyle w:val="Heading1"/>
        <w:spacing w:after="200"/>
        <w:ind w:left="142" w:right="141"/>
        <w:jc w:val="both"/>
        <w:rPr>
          <w:rFonts w:ascii="Arial" w:hAnsi="Arial" w:cs="Arial"/>
          <w:caps w:val="0"/>
          <w:szCs w:val="22"/>
        </w:rPr>
      </w:pPr>
    </w:p>
    <w:p w14:paraId="756E7EFF" w14:textId="77777777" w:rsidR="00131977" w:rsidRPr="00D506DE" w:rsidRDefault="00131977">
      <w:pPr>
        <w:spacing w:line="260" w:lineRule="atLeast"/>
        <w:rPr>
          <w:rFonts w:ascii="Arial" w:hAnsi="Arial" w:cs="Arial"/>
          <w:b/>
          <w:color w:val="003263" w:themeColor="text2"/>
          <w:spacing w:val="6"/>
          <w:sz w:val="22"/>
          <w:szCs w:val="22"/>
        </w:rPr>
      </w:pPr>
      <w:r w:rsidRPr="00D506DE">
        <w:rPr>
          <w:rFonts w:ascii="Arial" w:hAnsi="Arial" w:cs="Arial"/>
          <w:caps/>
          <w:szCs w:val="22"/>
        </w:rPr>
        <w:br w:type="page"/>
      </w:r>
    </w:p>
    <w:p w14:paraId="6B420C4C" w14:textId="65DC6887" w:rsidR="00142595" w:rsidRPr="00D506DE" w:rsidRDefault="00142595" w:rsidP="009F64EF">
      <w:pPr>
        <w:pStyle w:val="Heading1"/>
        <w:spacing w:after="200"/>
        <w:ind w:left="142" w:right="141"/>
        <w:jc w:val="both"/>
        <w:rPr>
          <w:rFonts w:ascii="Arial" w:hAnsi="Arial" w:cs="Arial"/>
          <w:caps w:val="0"/>
          <w:szCs w:val="22"/>
        </w:rPr>
      </w:pPr>
      <w:r w:rsidRPr="00D506DE">
        <w:rPr>
          <w:rFonts w:ascii="Arial" w:hAnsi="Arial" w:cs="Arial"/>
          <w:caps w:val="0"/>
          <w:szCs w:val="22"/>
        </w:rPr>
        <w:lastRenderedPageBreak/>
        <w:t xml:space="preserve">Dominant </w:t>
      </w:r>
      <w:r w:rsidR="00B711A3" w:rsidRPr="00D506DE">
        <w:rPr>
          <w:rFonts w:ascii="Arial" w:hAnsi="Arial" w:cs="Arial"/>
          <w:caps w:val="0"/>
          <w:szCs w:val="22"/>
        </w:rPr>
        <w:t xml:space="preserve">Two Storey </w:t>
      </w:r>
      <w:r w:rsidRPr="00D506DE">
        <w:rPr>
          <w:rFonts w:ascii="Arial" w:hAnsi="Arial" w:cs="Arial"/>
          <w:caps w:val="0"/>
          <w:szCs w:val="22"/>
        </w:rPr>
        <w:t>Additions</w:t>
      </w:r>
    </w:p>
    <w:p w14:paraId="6359F983" w14:textId="39411D99" w:rsidR="00891DC9" w:rsidRPr="00D506DE" w:rsidRDefault="00891DC9" w:rsidP="00FB4D03">
      <w:pPr>
        <w:spacing w:after="240"/>
        <w:ind w:left="142" w:right="141"/>
        <w:rPr>
          <w:rFonts w:ascii="Arial" w:hAnsi="Arial" w:cstheme="minorHAnsi"/>
          <w:sz w:val="22"/>
        </w:rPr>
      </w:pPr>
      <w:r w:rsidRPr="00D506DE">
        <w:rPr>
          <w:rFonts w:ascii="Arial" w:hAnsi="Arial" w:cstheme="minorHAnsi"/>
          <w:sz w:val="22"/>
        </w:rPr>
        <w:t xml:space="preserve">Unsuccessful examples are where the additions are noticeably dominant because of their location towards the front, larger </w:t>
      </w:r>
      <w:proofErr w:type="gramStart"/>
      <w:r w:rsidRPr="00D506DE">
        <w:rPr>
          <w:rFonts w:ascii="Arial" w:hAnsi="Arial" w:cstheme="minorHAnsi"/>
          <w:sz w:val="22"/>
        </w:rPr>
        <w:t>scale</w:t>
      </w:r>
      <w:proofErr w:type="gramEnd"/>
      <w:r w:rsidRPr="00D506DE">
        <w:rPr>
          <w:rFonts w:ascii="Arial" w:hAnsi="Arial" w:cstheme="minorHAnsi"/>
          <w:sz w:val="22"/>
        </w:rPr>
        <w:t xml:space="preserve"> or highly visible form</w:t>
      </w:r>
      <w:r w:rsidR="00F52C96">
        <w:rPr>
          <w:rFonts w:ascii="Arial" w:hAnsi="Arial" w:cstheme="minorHAnsi"/>
          <w:sz w:val="22"/>
        </w:rPr>
        <w:t xml:space="preserve">.  </w:t>
      </w:r>
    </w:p>
    <w:tbl>
      <w:tblPr>
        <w:tblW w:w="8222" w:type="dxa"/>
        <w:jc w:val="center"/>
        <w:tblLayout w:type="fixed"/>
        <w:tblLook w:val="04A0" w:firstRow="1" w:lastRow="0" w:firstColumn="1" w:lastColumn="0" w:noHBand="0" w:noVBand="1"/>
      </w:tblPr>
      <w:tblGrid>
        <w:gridCol w:w="567"/>
        <w:gridCol w:w="7371"/>
        <w:gridCol w:w="284"/>
      </w:tblGrid>
      <w:tr w:rsidR="00695489" w:rsidRPr="00D506DE" w14:paraId="6B64B825" w14:textId="77777777" w:rsidTr="00FB4D03">
        <w:trPr>
          <w:gridBefore w:val="1"/>
          <w:wBefore w:w="567" w:type="dxa"/>
          <w:jc w:val="center"/>
        </w:trPr>
        <w:tc>
          <w:tcPr>
            <w:tcW w:w="7655" w:type="dxa"/>
            <w:gridSpan w:val="2"/>
          </w:tcPr>
          <w:p w14:paraId="1B321538" w14:textId="00F738EE" w:rsidR="00695489" w:rsidRPr="00D506DE" w:rsidRDefault="00D234F2" w:rsidP="00FB4D03">
            <w:pPr>
              <w:spacing w:line="240" w:lineRule="auto"/>
              <w:ind w:left="142" w:right="141"/>
              <w:jc w:val="center"/>
              <w:rPr>
                <w:rFonts w:ascii="Arial" w:hAnsi="Arial" w:cstheme="minorHAnsi"/>
                <w:sz w:val="22"/>
                <w:szCs w:val="22"/>
              </w:rPr>
            </w:pPr>
            <w:r w:rsidRPr="00D506DE">
              <w:rPr>
                <w:rFonts w:ascii="Arial" w:hAnsi="Arial" w:cstheme="minorHAnsi"/>
                <w:noProof/>
                <w:sz w:val="22"/>
              </w:rPr>
              <w:drawing>
                <wp:inline distT="0" distB="0" distL="0" distR="0" wp14:anchorId="274FBF14" wp14:editId="39623A15">
                  <wp:extent cx="4485374" cy="3371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92624" cy="3377300"/>
                          </a:xfrm>
                          <a:prstGeom prst="rect">
                            <a:avLst/>
                          </a:prstGeom>
                          <a:noFill/>
                          <a:ln>
                            <a:noFill/>
                          </a:ln>
                        </pic:spPr>
                      </pic:pic>
                    </a:graphicData>
                  </a:graphic>
                </wp:inline>
              </w:drawing>
            </w:r>
          </w:p>
        </w:tc>
      </w:tr>
      <w:tr w:rsidR="00695489" w:rsidRPr="00D506DE" w14:paraId="2290FAD1" w14:textId="77777777" w:rsidTr="00FB4D03">
        <w:trPr>
          <w:gridAfter w:val="1"/>
          <w:wAfter w:w="284" w:type="dxa"/>
          <w:jc w:val="center"/>
        </w:trPr>
        <w:tc>
          <w:tcPr>
            <w:tcW w:w="7938" w:type="dxa"/>
            <w:gridSpan w:val="2"/>
          </w:tcPr>
          <w:p w14:paraId="11F94321" w14:textId="6D430D16" w:rsidR="00695489" w:rsidRPr="00D506DE" w:rsidRDefault="002B31ED" w:rsidP="00795B14">
            <w:pPr>
              <w:spacing w:before="120" w:line="240" w:lineRule="auto"/>
              <w:ind w:left="739" w:right="178"/>
              <w:jc w:val="both"/>
              <w:rPr>
                <w:rFonts w:ascii="Arial" w:hAnsi="Arial" w:cstheme="minorHAnsi"/>
                <w:bCs/>
                <w:szCs w:val="16"/>
              </w:rPr>
            </w:pPr>
            <w:r>
              <w:rPr>
                <w:rFonts w:ascii="Arial" w:hAnsi="Arial" w:cstheme="minorHAnsi"/>
                <w:bCs/>
                <w:szCs w:val="16"/>
              </w:rPr>
              <w:t>Dominant two storey additions</w:t>
            </w:r>
            <w:r w:rsidR="00795B14">
              <w:rPr>
                <w:rFonts w:ascii="Arial" w:hAnsi="Arial" w:cstheme="minorHAnsi"/>
                <w:bCs/>
                <w:szCs w:val="16"/>
              </w:rPr>
              <w:t xml:space="preserve">.  </w:t>
            </w:r>
            <w:r w:rsidR="00695489" w:rsidRPr="00D506DE">
              <w:rPr>
                <w:rFonts w:ascii="Arial" w:hAnsi="Arial" w:cstheme="minorHAnsi"/>
                <w:bCs/>
                <w:szCs w:val="16"/>
              </w:rPr>
              <w:t>Source: Dr David Rowe.</w:t>
            </w:r>
          </w:p>
        </w:tc>
      </w:tr>
    </w:tbl>
    <w:p w14:paraId="229DF599" w14:textId="77777777" w:rsidR="00EE5C6F" w:rsidRPr="00D506DE" w:rsidRDefault="00EE5C6F" w:rsidP="00497577">
      <w:pPr>
        <w:spacing w:after="240"/>
        <w:ind w:left="142" w:right="141"/>
        <w:rPr>
          <w:rFonts w:ascii="Arial" w:hAnsi="Arial" w:cstheme="minorHAnsi"/>
          <w:sz w:val="22"/>
        </w:rPr>
      </w:pPr>
    </w:p>
    <w:p w14:paraId="18EABF56" w14:textId="3EB89A09" w:rsidR="00795B14" w:rsidRPr="00D506DE" w:rsidRDefault="00795B14" w:rsidP="00E110DA">
      <w:pPr>
        <w:pStyle w:val="Heading1"/>
        <w:spacing w:after="200"/>
        <w:ind w:left="142" w:right="141"/>
        <w:jc w:val="both"/>
        <w:rPr>
          <w:rFonts w:ascii="Arial" w:hAnsi="Arial" w:cs="Arial"/>
          <w:caps w:val="0"/>
          <w:szCs w:val="22"/>
        </w:rPr>
      </w:pPr>
      <w:r>
        <w:rPr>
          <w:rFonts w:ascii="Arial" w:hAnsi="Arial" w:cs="Arial"/>
          <w:caps w:val="0"/>
          <w:szCs w:val="22"/>
        </w:rPr>
        <w:t>Independent</w:t>
      </w:r>
      <w:r w:rsidRPr="00D506DE">
        <w:rPr>
          <w:rFonts w:ascii="Arial" w:hAnsi="Arial" w:cs="Arial"/>
          <w:caps w:val="0"/>
          <w:szCs w:val="22"/>
        </w:rPr>
        <w:t xml:space="preserve"> Two Storey Additions</w:t>
      </w:r>
    </w:p>
    <w:p w14:paraId="2BBEF6B0" w14:textId="77777777" w:rsidR="00557630" w:rsidRDefault="002B1395" w:rsidP="00E110DA">
      <w:pPr>
        <w:spacing w:after="240" w:line="240" w:lineRule="auto"/>
        <w:ind w:left="142" w:right="141"/>
        <w:jc w:val="both"/>
        <w:rPr>
          <w:rFonts w:ascii="Arial" w:hAnsi="Arial" w:cstheme="minorHAnsi"/>
          <w:sz w:val="22"/>
        </w:rPr>
      </w:pPr>
      <w:r>
        <w:rPr>
          <w:rFonts w:ascii="Arial" w:hAnsi="Arial" w:cstheme="minorHAnsi"/>
          <w:sz w:val="22"/>
        </w:rPr>
        <w:t xml:space="preserve">Although </w:t>
      </w:r>
      <w:r w:rsidR="00916064" w:rsidRPr="00916064">
        <w:rPr>
          <w:rFonts w:ascii="Arial" w:hAnsi="Arial" w:cstheme="minorHAnsi"/>
          <w:sz w:val="22"/>
        </w:rPr>
        <w:t xml:space="preserve">distinguishing old from new is a valid heritage principle, it needs to be considered in relation to the context of the heritage place.  New work does not have to be ‘in keeping with the character and appearance of the heritage place’ if no </w:t>
      </w:r>
      <w:proofErr w:type="spellStart"/>
      <w:r w:rsidR="00916064" w:rsidRPr="00916064">
        <w:rPr>
          <w:rFonts w:ascii="Arial" w:hAnsi="Arial" w:cstheme="minorHAnsi"/>
          <w:sz w:val="22"/>
        </w:rPr>
        <w:t>adverse affect</w:t>
      </w:r>
      <w:proofErr w:type="spellEnd"/>
      <w:r w:rsidR="00916064" w:rsidRPr="00916064">
        <w:rPr>
          <w:rFonts w:ascii="Arial" w:hAnsi="Arial" w:cstheme="minorHAnsi"/>
          <w:sz w:val="22"/>
        </w:rPr>
        <w:t xml:space="preserve"> on its significance will result.  This is usually where the addition is not visible to public view (if the significance of the heritage place relies on its existing scale, </w:t>
      </w:r>
      <w:proofErr w:type="gramStart"/>
      <w:r w:rsidR="00916064" w:rsidRPr="00916064">
        <w:rPr>
          <w:rFonts w:ascii="Arial" w:hAnsi="Arial" w:cstheme="minorHAnsi"/>
          <w:sz w:val="22"/>
        </w:rPr>
        <w:t>forms</w:t>
      </w:r>
      <w:proofErr w:type="gramEnd"/>
      <w:r w:rsidR="00916064" w:rsidRPr="00916064">
        <w:rPr>
          <w:rFonts w:ascii="Arial" w:hAnsi="Arial" w:cstheme="minorHAnsi"/>
          <w:sz w:val="22"/>
        </w:rPr>
        <w:t xml:space="preserve"> and construction) and where the integrity of the heritage place will not be diminished. </w:t>
      </w:r>
    </w:p>
    <w:p w14:paraId="60D0A243" w14:textId="4FD4A4B1" w:rsidR="00916064" w:rsidRPr="00916064" w:rsidRDefault="00916064" w:rsidP="00E110DA">
      <w:pPr>
        <w:spacing w:after="240" w:line="240" w:lineRule="auto"/>
        <w:ind w:left="142" w:right="141"/>
        <w:jc w:val="both"/>
        <w:rPr>
          <w:rFonts w:ascii="Arial" w:hAnsi="Arial" w:cstheme="minorHAnsi"/>
          <w:sz w:val="22"/>
        </w:rPr>
      </w:pPr>
      <w:r w:rsidRPr="00916064">
        <w:rPr>
          <w:rFonts w:ascii="Arial" w:hAnsi="Arial" w:cstheme="minorHAnsi"/>
          <w:sz w:val="22"/>
        </w:rPr>
        <w:t>Independent two storey additions:</w:t>
      </w:r>
    </w:p>
    <w:p w14:paraId="4537D342" w14:textId="77777777" w:rsidR="00916064" w:rsidRDefault="00916064" w:rsidP="00E110DA">
      <w:pPr>
        <w:pStyle w:val="ListParagraph"/>
        <w:numPr>
          <w:ilvl w:val="0"/>
          <w:numId w:val="47"/>
        </w:numPr>
        <w:ind w:left="1134" w:right="141" w:hanging="567"/>
        <w:contextualSpacing w:val="0"/>
        <w:jc w:val="both"/>
        <w:rPr>
          <w:rFonts w:asciiTheme="minorHAnsi" w:hAnsiTheme="minorHAnsi" w:cstheme="minorHAnsi"/>
          <w:sz w:val="22"/>
          <w:szCs w:val="22"/>
        </w:rPr>
      </w:pPr>
      <w:r w:rsidRPr="00A92DDA">
        <w:rPr>
          <w:rFonts w:asciiTheme="minorHAnsi" w:hAnsiTheme="minorHAnsi" w:cstheme="minorHAnsi"/>
          <w:sz w:val="22"/>
          <w:szCs w:val="22"/>
        </w:rPr>
        <w:t>Should be designed as separate entities to minimi</w:t>
      </w:r>
      <w:r>
        <w:rPr>
          <w:rFonts w:asciiTheme="minorHAnsi" w:hAnsiTheme="minorHAnsi" w:cstheme="minorHAnsi"/>
          <w:sz w:val="22"/>
          <w:szCs w:val="22"/>
        </w:rPr>
        <w:t>s</w:t>
      </w:r>
      <w:r w:rsidRPr="00A92DDA">
        <w:rPr>
          <w:rFonts w:asciiTheme="minorHAnsi" w:hAnsiTheme="minorHAnsi" w:cstheme="minorHAnsi"/>
          <w:sz w:val="22"/>
          <w:szCs w:val="22"/>
        </w:rPr>
        <w:t>e views from the public realm (principal streets).</w:t>
      </w:r>
    </w:p>
    <w:p w14:paraId="34B7F61B" w14:textId="77777777" w:rsidR="00792944" w:rsidRPr="00792944" w:rsidRDefault="00792944" w:rsidP="0041461E">
      <w:pPr>
        <w:ind w:left="142" w:right="141"/>
        <w:jc w:val="both"/>
        <w:rPr>
          <w:rFonts w:cstheme="minorHAnsi"/>
          <w:sz w:val="22"/>
          <w:szCs w:val="22"/>
        </w:rPr>
      </w:pPr>
    </w:p>
    <w:p w14:paraId="09B05E3A" w14:textId="7A19BC85" w:rsidR="00916064" w:rsidRDefault="00916064" w:rsidP="00E110DA">
      <w:pPr>
        <w:pStyle w:val="ListParagraph"/>
        <w:numPr>
          <w:ilvl w:val="0"/>
          <w:numId w:val="47"/>
        </w:numPr>
        <w:ind w:left="1134" w:right="141" w:hanging="567"/>
        <w:contextualSpacing w:val="0"/>
        <w:jc w:val="both"/>
        <w:rPr>
          <w:rFonts w:asciiTheme="minorHAnsi" w:hAnsiTheme="minorHAnsi" w:cstheme="minorHAnsi"/>
          <w:sz w:val="22"/>
          <w:szCs w:val="22"/>
        </w:rPr>
      </w:pPr>
      <w:proofErr w:type="gramStart"/>
      <w:r w:rsidRPr="00A92DDA">
        <w:rPr>
          <w:rFonts w:asciiTheme="minorHAnsi" w:hAnsiTheme="minorHAnsi" w:cstheme="minorHAnsi"/>
          <w:sz w:val="22"/>
          <w:szCs w:val="22"/>
        </w:rPr>
        <w:t>Generally</w:t>
      </w:r>
      <w:proofErr w:type="gramEnd"/>
      <w:r w:rsidRPr="00A92DDA">
        <w:rPr>
          <w:rFonts w:asciiTheme="minorHAnsi" w:hAnsiTheme="minorHAnsi" w:cstheme="minorHAnsi"/>
          <w:sz w:val="22"/>
          <w:szCs w:val="22"/>
        </w:rPr>
        <w:t xml:space="preserve"> should not be constructed </w:t>
      </w:r>
      <w:r>
        <w:rPr>
          <w:rFonts w:asciiTheme="minorHAnsi" w:hAnsiTheme="minorHAnsi" w:cstheme="minorHAnsi"/>
          <w:sz w:val="22"/>
          <w:szCs w:val="22"/>
        </w:rPr>
        <w:t xml:space="preserve">directly </w:t>
      </w:r>
      <w:r w:rsidRPr="00A92DDA">
        <w:rPr>
          <w:rFonts w:asciiTheme="minorHAnsi" w:hAnsiTheme="minorHAnsi" w:cstheme="minorHAnsi"/>
          <w:sz w:val="22"/>
          <w:szCs w:val="22"/>
        </w:rPr>
        <w:t>above the heritage dwelling as this often leads to the addition being visually prominent.  Any components above the rear portion of a dwelling might consider a more conservative “transitional” approach or at least be set in from the side wall plane of the heritage dwelling.</w:t>
      </w:r>
    </w:p>
    <w:p w14:paraId="6688E93C" w14:textId="77777777" w:rsidR="0041461E" w:rsidRPr="0041461E" w:rsidRDefault="0041461E" w:rsidP="0041461E">
      <w:pPr>
        <w:ind w:left="142" w:right="141"/>
        <w:jc w:val="both"/>
        <w:rPr>
          <w:rFonts w:cstheme="minorHAnsi"/>
          <w:sz w:val="22"/>
          <w:szCs w:val="22"/>
        </w:rPr>
      </w:pPr>
    </w:p>
    <w:p w14:paraId="41DACF9D" w14:textId="77777777" w:rsidR="00916064" w:rsidRPr="0041461E" w:rsidRDefault="00916064" w:rsidP="00E110DA">
      <w:pPr>
        <w:pStyle w:val="ListParagraph"/>
        <w:numPr>
          <w:ilvl w:val="0"/>
          <w:numId w:val="47"/>
        </w:numPr>
        <w:ind w:left="1134" w:right="141" w:hanging="567"/>
        <w:contextualSpacing w:val="0"/>
        <w:jc w:val="both"/>
        <w:rPr>
          <w:rFonts w:cstheme="minorHAnsi"/>
          <w:sz w:val="22"/>
        </w:rPr>
      </w:pPr>
      <w:r w:rsidRPr="00916064">
        <w:rPr>
          <w:rFonts w:asciiTheme="minorHAnsi" w:hAnsiTheme="minorHAnsi" w:cstheme="minorHAnsi"/>
          <w:sz w:val="22"/>
          <w:szCs w:val="22"/>
        </w:rPr>
        <w:t>Should be constructed of materials and tones that minimise visual prominence.</w:t>
      </w:r>
    </w:p>
    <w:p w14:paraId="55CEB4ED" w14:textId="77777777" w:rsidR="0041461E" w:rsidRPr="0041461E" w:rsidRDefault="0041461E" w:rsidP="0041461E">
      <w:pPr>
        <w:ind w:left="142" w:right="141"/>
        <w:jc w:val="both"/>
        <w:rPr>
          <w:rFonts w:cstheme="minorHAnsi"/>
          <w:sz w:val="22"/>
        </w:rPr>
      </w:pPr>
    </w:p>
    <w:p w14:paraId="1A44E9F9" w14:textId="0FE0E5C1" w:rsidR="00916064" w:rsidRPr="00916064" w:rsidRDefault="00916064" w:rsidP="00E110DA">
      <w:pPr>
        <w:pStyle w:val="ListParagraph"/>
        <w:numPr>
          <w:ilvl w:val="0"/>
          <w:numId w:val="47"/>
        </w:numPr>
        <w:spacing w:after="240"/>
        <w:ind w:left="1134" w:right="141" w:hanging="567"/>
        <w:contextualSpacing w:val="0"/>
        <w:jc w:val="both"/>
        <w:rPr>
          <w:rFonts w:cstheme="minorHAnsi"/>
          <w:sz w:val="22"/>
        </w:rPr>
      </w:pPr>
      <w:r w:rsidRPr="00916064">
        <w:rPr>
          <w:rFonts w:asciiTheme="minorHAnsi" w:hAnsiTheme="minorHAnsi" w:cstheme="minorHAnsi"/>
          <w:sz w:val="22"/>
          <w:szCs w:val="22"/>
        </w:rPr>
        <w:t>Avoid the same roof and wall construction where especially visible to public view (traditionally, dwellings were constructed of roofing materials different to the wall cladding, there being a break by eaves).</w:t>
      </w:r>
    </w:p>
    <w:p w14:paraId="5AE3DED7" w14:textId="287E49C0" w:rsidR="005F5C2B" w:rsidRDefault="005F5C2B">
      <w:pPr>
        <w:spacing w:line="260" w:lineRule="atLeast"/>
        <w:rPr>
          <w:rFonts w:ascii="Arial" w:hAnsi="Arial" w:cstheme="minorHAnsi"/>
          <w:sz w:val="22"/>
        </w:rPr>
      </w:pPr>
      <w:r>
        <w:rPr>
          <w:rFonts w:ascii="Arial" w:hAnsi="Arial" w:cstheme="minorHAnsi"/>
          <w:sz w:val="22"/>
        </w:rPr>
        <w:br w:type="page"/>
      </w:r>
    </w:p>
    <w:tbl>
      <w:tblPr>
        <w:tblW w:w="0" w:type="auto"/>
        <w:jc w:val="center"/>
        <w:tblLook w:val="04A0" w:firstRow="1" w:lastRow="0" w:firstColumn="1" w:lastColumn="0" w:noHBand="0" w:noVBand="1"/>
      </w:tblPr>
      <w:tblGrid>
        <w:gridCol w:w="5475"/>
        <w:gridCol w:w="5298"/>
      </w:tblGrid>
      <w:tr w:rsidR="00EE3331" w:rsidRPr="00893BCA" w14:paraId="07C41FA2" w14:textId="77777777" w:rsidTr="00B9688F">
        <w:trPr>
          <w:jc w:val="center"/>
        </w:trPr>
        <w:tc>
          <w:tcPr>
            <w:tcW w:w="0" w:type="auto"/>
          </w:tcPr>
          <w:p w14:paraId="72BD1367" w14:textId="598003FF" w:rsidR="00EE3331" w:rsidRPr="00893BCA" w:rsidRDefault="00CF6E6A" w:rsidP="00EE3331">
            <w:pPr>
              <w:spacing w:line="240" w:lineRule="auto"/>
              <w:ind w:right="314"/>
              <w:jc w:val="center"/>
              <w:rPr>
                <w:rFonts w:ascii="Arial" w:hAnsi="Arial" w:cstheme="minorHAnsi"/>
                <w:sz w:val="22"/>
              </w:rPr>
            </w:pPr>
            <w:r w:rsidRPr="00A92DDA">
              <w:rPr>
                <w:rFonts w:cstheme="minorHAnsi"/>
                <w:noProof/>
                <w:sz w:val="22"/>
                <w:szCs w:val="22"/>
              </w:rPr>
              <w:lastRenderedPageBreak/>
              <w:drawing>
                <wp:inline distT="0" distB="0" distL="0" distR="0" wp14:anchorId="1F2624EF" wp14:editId="60BAB41B">
                  <wp:extent cx="3118161" cy="2340000"/>
                  <wp:effectExtent l="0" t="0" r="635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8161" cy="2340000"/>
                          </a:xfrm>
                          <a:prstGeom prst="rect">
                            <a:avLst/>
                          </a:prstGeom>
                          <a:noFill/>
                          <a:ln>
                            <a:noFill/>
                          </a:ln>
                        </pic:spPr>
                      </pic:pic>
                    </a:graphicData>
                  </a:graphic>
                </wp:inline>
              </w:drawing>
            </w:r>
          </w:p>
        </w:tc>
        <w:tc>
          <w:tcPr>
            <w:tcW w:w="0" w:type="auto"/>
          </w:tcPr>
          <w:p w14:paraId="5A9E58DE" w14:textId="04AF30BC" w:rsidR="00EE3331" w:rsidRPr="00893BCA" w:rsidRDefault="007A602F" w:rsidP="00EE3331">
            <w:pPr>
              <w:spacing w:line="240" w:lineRule="auto"/>
              <w:ind w:right="142"/>
              <w:jc w:val="center"/>
              <w:rPr>
                <w:rFonts w:ascii="Arial" w:hAnsi="Arial" w:cstheme="minorHAnsi"/>
                <w:sz w:val="22"/>
              </w:rPr>
            </w:pPr>
            <w:r w:rsidRPr="00A92DDA">
              <w:rPr>
                <w:rFonts w:cstheme="minorHAnsi"/>
                <w:noProof/>
                <w:sz w:val="22"/>
                <w:szCs w:val="22"/>
              </w:rPr>
              <w:drawing>
                <wp:inline distT="0" distB="0" distL="0" distR="0" wp14:anchorId="4FED43EF" wp14:editId="22E65127">
                  <wp:extent cx="3118161" cy="2340000"/>
                  <wp:effectExtent l="0" t="0" r="635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8161" cy="2340000"/>
                          </a:xfrm>
                          <a:prstGeom prst="rect">
                            <a:avLst/>
                          </a:prstGeom>
                          <a:noFill/>
                          <a:ln>
                            <a:noFill/>
                          </a:ln>
                        </pic:spPr>
                      </pic:pic>
                    </a:graphicData>
                  </a:graphic>
                </wp:inline>
              </w:drawing>
            </w:r>
          </w:p>
        </w:tc>
      </w:tr>
      <w:tr w:rsidR="00B05946" w:rsidRPr="00B9688F" w14:paraId="562C382A" w14:textId="77777777" w:rsidTr="00B9688F">
        <w:trPr>
          <w:jc w:val="center"/>
        </w:trPr>
        <w:tc>
          <w:tcPr>
            <w:tcW w:w="0" w:type="auto"/>
          </w:tcPr>
          <w:p w14:paraId="1568F24A" w14:textId="77777777" w:rsidR="00B05946" w:rsidRPr="00B9688F" w:rsidRDefault="00B05946" w:rsidP="00EE3331">
            <w:pPr>
              <w:spacing w:line="240" w:lineRule="auto"/>
              <w:ind w:right="142"/>
              <w:jc w:val="center"/>
              <w:rPr>
                <w:rFonts w:cstheme="minorHAnsi"/>
                <w:noProof/>
                <w:sz w:val="12"/>
                <w:szCs w:val="12"/>
              </w:rPr>
            </w:pPr>
          </w:p>
        </w:tc>
        <w:tc>
          <w:tcPr>
            <w:tcW w:w="0" w:type="auto"/>
          </w:tcPr>
          <w:p w14:paraId="7623CAE9" w14:textId="77777777" w:rsidR="00B05946" w:rsidRPr="00B9688F" w:rsidRDefault="00B05946" w:rsidP="00EE3331">
            <w:pPr>
              <w:spacing w:line="240" w:lineRule="auto"/>
              <w:ind w:right="142"/>
              <w:jc w:val="center"/>
              <w:rPr>
                <w:rFonts w:cstheme="minorHAnsi"/>
                <w:noProof/>
                <w:sz w:val="12"/>
                <w:szCs w:val="12"/>
              </w:rPr>
            </w:pPr>
          </w:p>
        </w:tc>
      </w:tr>
      <w:tr w:rsidR="00EE3331" w:rsidRPr="00893BCA" w14:paraId="25F88CC8" w14:textId="77777777" w:rsidTr="00B9688F">
        <w:trPr>
          <w:jc w:val="center"/>
        </w:trPr>
        <w:tc>
          <w:tcPr>
            <w:tcW w:w="0" w:type="auto"/>
          </w:tcPr>
          <w:p w14:paraId="09FE3B4F" w14:textId="32BFAA27" w:rsidR="00EE3331" w:rsidRPr="00893BCA" w:rsidRDefault="00973210" w:rsidP="002D06E5">
            <w:pPr>
              <w:spacing w:line="240" w:lineRule="auto"/>
              <w:ind w:right="388"/>
              <w:jc w:val="both"/>
              <w:rPr>
                <w:rFonts w:ascii="Arial" w:hAnsi="Arial" w:cstheme="minorHAnsi"/>
              </w:rPr>
            </w:pPr>
            <w:r w:rsidRPr="00893BCA">
              <w:rPr>
                <w:rFonts w:ascii="Arial" w:hAnsi="Arial" w:cstheme="minorHAnsi"/>
              </w:rPr>
              <w:t>Late Victorian dwelling with rear two storey additions of independent character and yet minimal views from the front.</w:t>
            </w:r>
            <w:r w:rsidR="00B60D98">
              <w:rPr>
                <w:rFonts w:ascii="Arial" w:hAnsi="Arial" w:cstheme="minorHAnsi"/>
              </w:rPr>
              <w:t xml:space="preserve"> </w:t>
            </w:r>
            <w:r w:rsidRPr="00893BCA">
              <w:rPr>
                <w:rFonts w:ascii="Arial" w:hAnsi="Arial" w:cstheme="minorHAnsi"/>
              </w:rPr>
              <w:t xml:space="preserve">The vertical grey tone has </w:t>
            </w:r>
            <w:proofErr w:type="gramStart"/>
            <w:r w:rsidRPr="00893BCA">
              <w:rPr>
                <w:rFonts w:ascii="Arial" w:hAnsi="Arial" w:cstheme="minorHAnsi"/>
              </w:rPr>
              <w:t>minimise</w:t>
            </w:r>
            <w:proofErr w:type="gramEnd"/>
            <w:r w:rsidRPr="00893BCA">
              <w:rPr>
                <w:rFonts w:ascii="Arial" w:hAnsi="Arial" w:cstheme="minorHAnsi"/>
              </w:rPr>
              <w:t xml:space="preserve"> the visual focus of the addition.</w:t>
            </w:r>
            <w:r w:rsidR="002D06E5">
              <w:rPr>
                <w:rFonts w:ascii="Arial" w:hAnsi="Arial" w:cstheme="minorHAnsi"/>
              </w:rPr>
              <w:t xml:space="preserve">  </w:t>
            </w:r>
            <w:r w:rsidRPr="00893BCA">
              <w:rPr>
                <w:rFonts w:ascii="Arial" w:hAnsi="Arial" w:cstheme="minorHAnsi"/>
              </w:rPr>
              <w:t>Source: Dr David Rowe.</w:t>
            </w:r>
          </w:p>
        </w:tc>
        <w:tc>
          <w:tcPr>
            <w:tcW w:w="0" w:type="auto"/>
          </w:tcPr>
          <w:p w14:paraId="4A007CCE" w14:textId="77777777" w:rsidR="002D06E5" w:rsidRDefault="009F395A" w:rsidP="002D06E5">
            <w:pPr>
              <w:spacing w:line="240" w:lineRule="auto"/>
              <w:ind w:right="174"/>
              <w:jc w:val="both"/>
              <w:rPr>
                <w:rFonts w:ascii="Arial" w:hAnsi="Arial" w:cstheme="minorHAnsi"/>
              </w:rPr>
            </w:pPr>
            <w:r w:rsidRPr="00893BCA">
              <w:rPr>
                <w:rFonts w:ascii="Arial" w:hAnsi="Arial" w:cstheme="minorHAnsi"/>
              </w:rPr>
              <w:t>The visibility of the independent two storey additions is incidental (given that it is a separate entity and that does not project directly above or beyond the Late Victorian dwelling).</w:t>
            </w:r>
          </w:p>
          <w:p w14:paraId="7935F4AD" w14:textId="15611F75" w:rsidR="00EE3331" w:rsidRPr="00893BCA" w:rsidRDefault="009F395A" w:rsidP="002D06E5">
            <w:pPr>
              <w:spacing w:line="240" w:lineRule="auto"/>
              <w:ind w:right="174"/>
              <w:jc w:val="both"/>
              <w:rPr>
                <w:rFonts w:ascii="Arial" w:hAnsi="Arial" w:cstheme="minorHAnsi"/>
              </w:rPr>
            </w:pPr>
            <w:r w:rsidRPr="00893BCA">
              <w:rPr>
                <w:rFonts w:ascii="Arial" w:hAnsi="Arial" w:cstheme="minorHAnsi"/>
              </w:rPr>
              <w:t>Dr David Rowe.</w:t>
            </w:r>
          </w:p>
        </w:tc>
      </w:tr>
      <w:tr w:rsidR="00EE3331" w:rsidRPr="00893BCA" w14:paraId="0FA03115" w14:textId="77777777" w:rsidTr="00B9688F">
        <w:trPr>
          <w:jc w:val="center"/>
        </w:trPr>
        <w:tc>
          <w:tcPr>
            <w:tcW w:w="0" w:type="auto"/>
          </w:tcPr>
          <w:p w14:paraId="4B3D98EA" w14:textId="77777777" w:rsidR="00EE3331" w:rsidRPr="00893BCA" w:rsidRDefault="00EE3331" w:rsidP="00EE3331">
            <w:pPr>
              <w:spacing w:line="240" w:lineRule="auto"/>
              <w:ind w:right="142"/>
              <w:jc w:val="center"/>
              <w:rPr>
                <w:rFonts w:ascii="Arial" w:hAnsi="Arial" w:cstheme="minorHAnsi"/>
                <w:sz w:val="22"/>
              </w:rPr>
            </w:pPr>
          </w:p>
        </w:tc>
        <w:tc>
          <w:tcPr>
            <w:tcW w:w="0" w:type="auto"/>
          </w:tcPr>
          <w:p w14:paraId="1520350F" w14:textId="77777777" w:rsidR="00EE3331" w:rsidRPr="00893BCA" w:rsidRDefault="00EE3331" w:rsidP="00EE3331">
            <w:pPr>
              <w:spacing w:line="240" w:lineRule="auto"/>
              <w:ind w:right="142"/>
              <w:jc w:val="center"/>
              <w:rPr>
                <w:rFonts w:ascii="Arial" w:hAnsi="Arial" w:cstheme="minorHAnsi"/>
                <w:sz w:val="22"/>
              </w:rPr>
            </w:pPr>
          </w:p>
        </w:tc>
      </w:tr>
      <w:tr w:rsidR="00EE3331" w:rsidRPr="00893BCA" w14:paraId="37E27F86" w14:textId="77777777" w:rsidTr="00B9688F">
        <w:trPr>
          <w:jc w:val="center"/>
        </w:trPr>
        <w:tc>
          <w:tcPr>
            <w:tcW w:w="0" w:type="auto"/>
          </w:tcPr>
          <w:p w14:paraId="0F87A1B0" w14:textId="48264E46" w:rsidR="00EE3331" w:rsidRPr="00893BCA" w:rsidRDefault="00F41CB8" w:rsidP="00EE3331">
            <w:pPr>
              <w:spacing w:line="240" w:lineRule="auto"/>
              <w:ind w:right="142"/>
              <w:jc w:val="center"/>
              <w:rPr>
                <w:rFonts w:ascii="Arial" w:hAnsi="Arial" w:cstheme="minorHAnsi"/>
                <w:sz w:val="22"/>
              </w:rPr>
            </w:pPr>
            <w:r>
              <w:rPr>
                <w:noProof/>
                <w:sz w:val="20"/>
                <w:szCs w:val="20"/>
              </w:rPr>
              <w:drawing>
                <wp:inline distT="0" distB="0" distL="0" distR="0" wp14:anchorId="0095A721" wp14:editId="3B2A1897">
                  <wp:extent cx="3122323" cy="2340000"/>
                  <wp:effectExtent l="0" t="0" r="190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2323" cy="2340000"/>
                          </a:xfrm>
                          <a:prstGeom prst="rect">
                            <a:avLst/>
                          </a:prstGeom>
                          <a:noFill/>
                          <a:ln>
                            <a:noFill/>
                          </a:ln>
                        </pic:spPr>
                      </pic:pic>
                    </a:graphicData>
                  </a:graphic>
                </wp:inline>
              </w:drawing>
            </w:r>
          </w:p>
        </w:tc>
        <w:tc>
          <w:tcPr>
            <w:tcW w:w="0" w:type="auto"/>
          </w:tcPr>
          <w:p w14:paraId="6152931C" w14:textId="7E54E340" w:rsidR="00EE3331" w:rsidRPr="00893BCA" w:rsidRDefault="004C7E24" w:rsidP="00EE3331">
            <w:pPr>
              <w:spacing w:line="240" w:lineRule="auto"/>
              <w:ind w:right="142"/>
              <w:jc w:val="center"/>
              <w:rPr>
                <w:rFonts w:ascii="Arial" w:hAnsi="Arial" w:cstheme="minorHAnsi"/>
                <w:sz w:val="22"/>
              </w:rPr>
            </w:pPr>
            <w:r>
              <w:rPr>
                <w:noProof/>
                <w:sz w:val="20"/>
                <w:szCs w:val="20"/>
              </w:rPr>
              <w:drawing>
                <wp:inline distT="0" distB="0" distL="0" distR="0" wp14:anchorId="199F0E9B" wp14:editId="1E114CCD">
                  <wp:extent cx="3122322" cy="2340000"/>
                  <wp:effectExtent l="0" t="0" r="190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2322" cy="2340000"/>
                          </a:xfrm>
                          <a:prstGeom prst="rect">
                            <a:avLst/>
                          </a:prstGeom>
                          <a:noFill/>
                          <a:ln>
                            <a:noFill/>
                          </a:ln>
                        </pic:spPr>
                      </pic:pic>
                    </a:graphicData>
                  </a:graphic>
                </wp:inline>
              </w:drawing>
            </w:r>
          </w:p>
        </w:tc>
      </w:tr>
      <w:tr w:rsidR="00B05946" w:rsidRPr="00B9688F" w14:paraId="410DB646" w14:textId="77777777" w:rsidTr="00B9688F">
        <w:trPr>
          <w:jc w:val="center"/>
        </w:trPr>
        <w:tc>
          <w:tcPr>
            <w:tcW w:w="0" w:type="auto"/>
          </w:tcPr>
          <w:p w14:paraId="34D15B2C" w14:textId="77777777" w:rsidR="00B05946" w:rsidRPr="00B9688F" w:rsidRDefault="00B05946" w:rsidP="00EE3331">
            <w:pPr>
              <w:spacing w:line="240" w:lineRule="auto"/>
              <w:ind w:right="142"/>
              <w:jc w:val="center"/>
              <w:rPr>
                <w:noProof/>
                <w:sz w:val="12"/>
                <w:szCs w:val="12"/>
              </w:rPr>
            </w:pPr>
          </w:p>
        </w:tc>
        <w:tc>
          <w:tcPr>
            <w:tcW w:w="0" w:type="auto"/>
          </w:tcPr>
          <w:p w14:paraId="5EA37D60" w14:textId="77777777" w:rsidR="00B05946" w:rsidRPr="00B9688F" w:rsidRDefault="00B05946" w:rsidP="00EE3331">
            <w:pPr>
              <w:spacing w:line="240" w:lineRule="auto"/>
              <w:ind w:right="142"/>
              <w:jc w:val="center"/>
              <w:rPr>
                <w:noProof/>
                <w:sz w:val="12"/>
                <w:szCs w:val="12"/>
              </w:rPr>
            </w:pPr>
          </w:p>
        </w:tc>
      </w:tr>
      <w:tr w:rsidR="00EE3331" w:rsidRPr="00893BCA" w14:paraId="6DB52485" w14:textId="77777777" w:rsidTr="00B9688F">
        <w:trPr>
          <w:jc w:val="center"/>
        </w:trPr>
        <w:tc>
          <w:tcPr>
            <w:tcW w:w="0" w:type="auto"/>
          </w:tcPr>
          <w:p w14:paraId="0743162B" w14:textId="2C7F4103" w:rsidR="00EE3331" w:rsidRPr="00893BCA" w:rsidRDefault="00F14CA8" w:rsidP="002D06E5">
            <w:pPr>
              <w:spacing w:line="240" w:lineRule="auto"/>
              <w:ind w:right="247"/>
              <w:jc w:val="both"/>
              <w:rPr>
                <w:rFonts w:ascii="Arial" w:hAnsi="Arial"/>
              </w:rPr>
            </w:pPr>
            <w:r w:rsidRPr="00893BCA">
              <w:rPr>
                <w:rFonts w:ascii="Arial" w:hAnsi="Arial"/>
              </w:rPr>
              <w:t>Two storey additions of varying design and construction to the Bungalow (right).  The additions are hardly visible from the front.  Source: Dr David Rowe.</w:t>
            </w:r>
          </w:p>
        </w:tc>
        <w:tc>
          <w:tcPr>
            <w:tcW w:w="0" w:type="auto"/>
          </w:tcPr>
          <w:p w14:paraId="1A22AF71" w14:textId="77777777" w:rsidR="002D06E5" w:rsidRDefault="00657AC6" w:rsidP="002D06E5">
            <w:pPr>
              <w:spacing w:line="240" w:lineRule="auto"/>
              <w:ind w:right="174"/>
              <w:jc w:val="both"/>
              <w:rPr>
                <w:rFonts w:ascii="Arial" w:hAnsi="Arial"/>
              </w:rPr>
            </w:pPr>
            <w:r w:rsidRPr="00893BCA">
              <w:rPr>
                <w:rFonts w:ascii="Arial" w:hAnsi="Arial"/>
              </w:rPr>
              <w:t>Minimal visibility of the two storey additions to the Bungalow.</w:t>
            </w:r>
          </w:p>
          <w:p w14:paraId="33B624F9" w14:textId="4B83CB7F" w:rsidR="00EE3331" w:rsidRPr="00893BCA" w:rsidRDefault="00657AC6" w:rsidP="002D06E5">
            <w:pPr>
              <w:spacing w:line="240" w:lineRule="auto"/>
              <w:ind w:right="174"/>
              <w:jc w:val="both"/>
              <w:rPr>
                <w:rFonts w:ascii="Arial" w:hAnsi="Arial"/>
              </w:rPr>
            </w:pPr>
            <w:r w:rsidRPr="00893BCA">
              <w:rPr>
                <w:rFonts w:ascii="Arial" w:hAnsi="Arial"/>
              </w:rPr>
              <w:t>Source: Dr David Rowe.</w:t>
            </w:r>
          </w:p>
        </w:tc>
      </w:tr>
      <w:tr w:rsidR="00657AC6" w:rsidRPr="00893BCA" w14:paraId="4A2DF10E" w14:textId="77777777" w:rsidTr="00B9688F">
        <w:trPr>
          <w:jc w:val="center"/>
        </w:trPr>
        <w:tc>
          <w:tcPr>
            <w:tcW w:w="0" w:type="auto"/>
          </w:tcPr>
          <w:p w14:paraId="57460221" w14:textId="77777777" w:rsidR="00657AC6" w:rsidRPr="00893BCA" w:rsidRDefault="00657AC6" w:rsidP="00F14CA8">
            <w:pPr>
              <w:spacing w:line="240" w:lineRule="auto"/>
              <w:jc w:val="both"/>
              <w:rPr>
                <w:rFonts w:ascii="Arial" w:hAnsi="Arial"/>
              </w:rPr>
            </w:pPr>
          </w:p>
        </w:tc>
        <w:tc>
          <w:tcPr>
            <w:tcW w:w="0" w:type="auto"/>
          </w:tcPr>
          <w:p w14:paraId="33CC92F1" w14:textId="77777777" w:rsidR="00657AC6" w:rsidRPr="00893BCA" w:rsidRDefault="00657AC6" w:rsidP="00657AC6">
            <w:pPr>
              <w:spacing w:line="240" w:lineRule="auto"/>
              <w:jc w:val="both"/>
              <w:rPr>
                <w:rFonts w:ascii="Arial" w:hAnsi="Arial"/>
              </w:rPr>
            </w:pPr>
          </w:p>
        </w:tc>
      </w:tr>
      <w:tr w:rsidR="001C4CE0" w:rsidRPr="00893BCA" w14:paraId="01DBB4FC" w14:textId="77777777" w:rsidTr="00B9688F">
        <w:trPr>
          <w:jc w:val="center"/>
        </w:trPr>
        <w:tc>
          <w:tcPr>
            <w:tcW w:w="0" w:type="auto"/>
            <w:gridSpan w:val="2"/>
          </w:tcPr>
          <w:p w14:paraId="4BFB46E6" w14:textId="213911B5" w:rsidR="001C4CE0" w:rsidRPr="00893BCA" w:rsidRDefault="001C4CE0" w:rsidP="001C4CE0">
            <w:pPr>
              <w:spacing w:line="240" w:lineRule="auto"/>
              <w:jc w:val="center"/>
              <w:rPr>
                <w:rFonts w:ascii="Arial" w:hAnsi="Arial"/>
              </w:rPr>
            </w:pPr>
            <w:r>
              <w:rPr>
                <w:noProof/>
                <w:sz w:val="20"/>
                <w:szCs w:val="20"/>
              </w:rPr>
              <w:drawing>
                <wp:inline distT="0" distB="0" distL="0" distR="0" wp14:anchorId="256914FD" wp14:editId="47C14D7F">
                  <wp:extent cx="3122322" cy="2340000"/>
                  <wp:effectExtent l="0" t="0" r="190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22322" cy="2340000"/>
                          </a:xfrm>
                          <a:prstGeom prst="rect">
                            <a:avLst/>
                          </a:prstGeom>
                          <a:noFill/>
                          <a:ln>
                            <a:noFill/>
                          </a:ln>
                        </pic:spPr>
                      </pic:pic>
                    </a:graphicData>
                  </a:graphic>
                </wp:inline>
              </w:drawing>
            </w:r>
          </w:p>
        </w:tc>
      </w:tr>
      <w:tr w:rsidR="001C4CE0" w:rsidRPr="00B9688F" w14:paraId="2A88B58C" w14:textId="77777777" w:rsidTr="00B9688F">
        <w:trPr>
          <w:jc w:val="center"/>
        </w:trPr>
        <w:tc>
          <w:tcPr>
            <w:tcW w:w="0" w:type="auto"/>
            <w:gridSpan w:val="2"/>
          </w:tcPr>
          <w:p w14:paraId="16BEA33A" w14:textId="77777777" w:rsidR="001C4CE0" w:rsidRPr="00B9688F" w:rsidRDefault="001C4CE0" w:rsidP="001C4CE0">
            <w:pPr>
              <w:spacing w:line="240" w:lineRule="auto"/>
              <w:jc w:val="center"/>
              <w:rPr>
                <w:noProof/>
                <w:sz w:val="12"/>
                <w:szCs w:val="12"/>
              </w:rPr>
            </w:pPr>
          </w:p>
        </w:tc>
      </w:tr>
      <w:tr w:rsidR="00893BCA" w:rsidRPr="00893BCA" w14:paraId="20EAF9F3" w14:textId="77777777" w:rsidTr="00B9688F">
        <w:trPr>
          <w:jc w:val="center"/>
        </w:trPr>
        <w:tc>
          <w:tcPr>
            <w:tcW w:w="0" w:type="auto"/>
            <w:gridSpan w:val="2"/>
          </w:tcPr>
          <w:p w14:paraId="6ED30C94" w14:textId="45E22D03" w:rsidR="00893BCA" w:rsidRPr="00893BCA" w:rsidRDefault="00893BCA" w:rsidP="002D06E5">
            <w:pPr>
              <w:spacing w:line="240" w:lineRule="auto"/>
              <w:ind w:left="2865" w:right="3009"/>
              <w:jc w:val="both"/>
              <w:rPr>
                <w:rFonts w:ascii="Arial" w:hAnsi="Arial"/>
              </w:rPr>
            </w:pPr>
            <w:r w:rsidRPr="00893BCA">
              <w:rPr>
                <w:rFonts w:ascii="Arial" w:hAnsi="Arial"/>
              </w:rPr>
              <w:t>Rear view of two storey additions to the Bungalow, as seen from the lane but not from the principal street.</w:t>
            </w:r>
          </w:p>
          <w:p w14:paraId="0FFABB2A" w14:textId="428001EB" w:rsidR="00893BCA" w:rsidRPr="00893BCA" w:rsidRDefault="00893BCA" w:rsidP="002D06E5">
            <w:pPr>
              <w:spacing w:line="240" w:lineRule="auto"/>
              <w:ind w:left="2865" w:right="3009"/>
              <w:jc w:val="both"/>
              <w:rPr>
                <w:rFonts w:ascii="Arial" w:hAnsi="Arial"/>
              </w:rPr>
            </w:pPr>
            <w:r w:rsidRPr="00893BCA">
              <w:rPr>
                <w:rFonts w:ascii="Arial" w:hAnsi="Arial"/>
              </w:rPr>
              <w:t>Source: Dr David Rowe.</w:t>
            </w:r>
          </w:p>
        </w:tc>
      </w:tr>
    </w:tbl>
    <w:p w14:paraId="4FF7E8DF" w14:textId="77777777" w:rsidR="007924DE" w:rsidRPr="00DE323A" w:rsidRDefault="007924DE" w:rsidP="006515CD">
      <w:pPr>
        <w:ind w:left="142" w:right="141"/>
        <w:rPr>
          <w:rFonts w:cstheme="minorHAnsi"/>
          <w:sz w:val="22"/>
        </w:rPr>
      </w:pPr>
    </w:p>
    <w:sectPr w:rsidR="007924DE" w:rsidRPr="00DE323A" w:rsidSect="005D65D1">
      <w:headerReference w:type="even" r:id="rId38"/>
      <w:headerReference w:type="default" r:id="rId39"/>
      <w:footerReference w:type="even" r:id="rId40"/>
      <w:footerReference w:type="default" r:id="rId41"/>
      <w:headerReference w:type="first" r:id="rId42"/>
      <w:footerReference w:type="first" r:id="rId43"/>
      <w:type w:val="continuous"/>
      <w:pgSz w:w="11907" w:h="16840" w:code="9"/>
      <w:pgMar w:top="822" w:right="567" w:bottom="1276"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5430A7" w14:textId="77777777" w:rsidR="00E75C24" w:rsidRDefault="00E75C24" w:rsidP="00CE604F">
      <w:r>
        <w:separator/>
      </w:r>
    </w:p>
    <w:p w14:paraId="2BDB3C34" w14:textId="77777777" w:rsidR="00E75C24" w:rsidRDefault="00E75C24" w:rsidP="00CE604F"/>
    <w:p w14:paraId="14A15FF3" w14:textId="77777777" w:rsidR="00E75C24" w:rsidRDefault="00E75C24" w:rsidP="00CE604F"/>
    <w:p w14:paraId="0DEAA494" w14:textId="77777777" w:rsidR="00E75C24" w:rsidRDefault="00E75C24" w:rsidP="00CE604F"/>
  </w:endnote>
  <w:endnote w:type="continuationSeparator" w:id="0">
    <w:p w14:paraId="28C159D6" w14:textId="77777777" w:rsidR="00E75C24" w:rsidRDefault="00E75C24" w:rsidP="00CE604F">
      <w:r>
        <w:continuationSeparator/>
      </w:r>
    </w:p>
    <w:p w14:paraId="1CA021B7" w14:textId="77777777" w:rsidR="00E75C24" w:rsidRDefault="00E75C24" w:rsidP="00CE604F"/>
    <w:p w14:paraId="463A1B15" w14:textId="77777777" w:rsidR="00E75C24" w:rsidRDefault="00E75C24" w:rsidP="00CE604F"/>
    <w:p w14:paraId="3E2DD7E9" w14:textId="77777777" w:rsidR="00E75C24" w:rsidRDefault="00E75C24" w:rsidP="00CE604F"/>
  </w:endnote>
  <w:endnote w:type="continuationNotice" w:id="1">
    <w:p w14:paraId="236A5F51" w14:textId="77777777" w:rsidR="00BB3F49" w:rsidRDefault="00BB3F4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Bold r:id="rId1" w:subsetted="1" w:fontKey="{1F2C801B-0372-4D96-ADD9-584AE502118B}"/>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3342C" w14:textId="77777777" w:rsidR="00260BFB" w:rsidRDefault="00260B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6A59B" w14:textId="2DB036E0" w:rsidR="009D1112" w:rsidRPr="00066A4E" w:rsidRDefault="009D1112" w:rsidP="009D1112">
    <w:pPr>
      <w:pStyle w:val="Footer"/>
      <w:tabs>
        <w:tab w:val="center" w:pos="6663"/>
        <w:tab w:val="right" w:pos="10632"/>
      </w:tabs>
      <w:rPr>
        <w:rFonts w:ascii="Arial" w:hAnsi="Arial" w:cs="Arial"/>
      </w:rPr>
    </w:pPr>
    <w:r>
      <w:rPr>
        <w:noProof/>
      </w:rPr>
      <w:drawing>
        <wp:anchor distT="0" distB="0" distL="114300" distR="114300" simplePos="0" relativeHeight="251658240" behindDoc="1" locked="0" layoutInCell="1" allowOverlap="1" wp14:anchorId="4A6FF51F" wp14:editId="441B9442">
          <wp:simplePos x="0" y="0"/>
          <wp:positionH relativeFrom="page">
            <wp:posOffset>2540</wp:posOffset>
          </wp:positionH>
          <wp:positionV relativeFrom="page">
            <wp:posOffset>9972828</wp:posOffset>
          </wp:positionV>
          <wp:extent cx="7553960" cy="666750"/>
          <wp:effectExtent l="0" t="0" r="0" b="0"/>
          <wp:wrapNone/>
          <wp:docPr id="9" name="www.geelongaustralia.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oter.png"/>
                  <pic:cNvPicPr/>
                </pic:nvPicPr>
                <pic:blipFill rotWithShape="1">
                  <a:blip r:embed="rId1">
                    <a:extLst>
                      <a:ext uri="{28A0092B-C50C-407E-A947-70E740481C1C}">
                        <a14:useLocalDpi xmlns:a14="http://schemas.microsoft.com/office/drawing/2010/main" val="0"/>
                      </a:ext>
                    </a:extLst>
                  </a:blip>
                  <a:srcRect b="16134"/>
                  <a:stretch/>
                </pic:blipFill>
                <pic:spPr bwMode="auto">
                  <a:xfrm>
                    <a:off x="0" y="0"/>
                    <a:ext cx="7553960" cy="66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tab/>
    </w:r>
    <w:r w:rsidR="00BA36E0">
      <w:rPr>
        <w:rFonts w:ascii="Arial" w:hAnsi="Arial" w:cs="Arial"/>
      </w:rPr>
      <w:t>Additions</w:t>
    </w:r>
    <w:r>
      <w:rPr>
        <w:rFonts w:ascii="Arial" w:hAnsi="Arial" w:cs="Arial"/>
      </w:rPr>
      <w:tab/>
      <w:t>July</w:t>
    </w:r>
    <w:r w:rsidRPr="00066A4E">
      <w:rPr>
        <w:rFonts w:ascii="Arial" w:hAnsi="Arial" w:cs="Arial"/>
      </w:rPr>
      <w:t xml:space="preserve"> 2023</w:t>
    </w:r>
  </w:p>
  <w:p w14:paraId="779CA4CA" w14:textId="45B86E58" w:rsidR="00387230" w:rsidRPr="00DA02EF" w:rsidRDefault="009D1112" w:rsidP="00DA02EF">
    <w:pPr>
      <w:pStyle w:val="Footer"/>
      <w:tabs>
        <w:tab w:val="center" w:pos="6663"/>
        <w:tab w:val="right" w:pos="10632"/>
      </w:tabs>
      <w:rPr>
        <w:rFonts w:ascii="Arial" w:hAnsi="Arial" w:cs="Arial"/>
      </w:rPr>
    </w:pPr>
    <w:r>
      <w:rPr>
        <w:rFonts w:ascii="Arial" w:hAnsi="Arial" w:cs="Arial"/>
      </w:rPr>
      <w:tab/>
      <w:t>Heritage Information Sheet</w:t>
    </w:r>
    <w:r>
      <w:rPr>
        <w:rFonts w:ascii="Arial" w:hAnsi="Arial" w:cs="Arial"/>
      </w:rPr>
      <w:tab/>
    </w:r>
    <w:sdt>
      <w:sdtPr>
        <w:rPr>
          <w:rFonts w:ascii="Arial" w:hAnsi="Arial" w:cs="Arial"/>
        </w:rPr>
        <w:id w:val="511498942"/>
        <w:docPartObj>
          <w:docPartGallery w:val="Page Numbers (Bottom of Page)"/>
          <w:docPartUnique/>
        </w:docPartObj>
      </w:sdtPr>
      <w:sdtEndPr/>
      <w:sdtContent>
        <w:sdt>
          <w:sdtPr>
            <w:rPr>
              <w:rFonts w:ascii="Arial" w:hAnsi="Arial" w:cs="Arial"/>
            </w:rPr>
            <w:id w:val="-1769616900"/>
            <w:docPartObj>
              <w:docPartGallery w:val="Page Numbers (Top of Page)"/>
              <w:docPartUnique/>
            </w:docPartObj>
          </w:sdtPr>
          <w:sdtEndPr/>
          <w:sdtContent>
            <w:r w:rsidRPr="00066A4E">
              <w:rPr>
                <w:rFonts w:ascii="Arial" w:hAnsi="Arial" w:cs="Arial"/>
              </w:rPr>
              <w:t xml:space="preserve">Page </w:t>
            </w:r>
            <w:r w:rsidRPr="00066A4E">
              <w:rPr>
                <w:rFonts w:ascii="Arial" w:hAnsi="Arial" w:cs="Arial"/>
              </w:rPr>
              <w:fldChar w:fldCharType="begin"/>
            </w:r>
            <w:r w:rsidRPr="00066A4E">
              <w:rPr>
                <w:rFonts w:ascii="Arial" w:hAnsi="Arial" w:cs="Arial"/>
              </w:rPr>
              <w:instrText xml:space="preserve"> PAGE </w:instrText>
            </w:r>
            <w:r w:rsidRPr="00066A4E">
              <w:rPr>
                <w:rFonts w:ascii="Arial" w:hAnsi="Arial" w:cs="Arial"/>
              </w:rPr>
              <w:fldChar w:fldCharType="separate"/>
            </w:r>
            <w:r>
              <w:rPr>
                <w:rFonts w:ascii="Arial" w:hAnsi="Arial" w:cs="Arial"/>
              </w:rPr>
              <w:t>1</w:t>
            </w:r>
            <w:r w:rsidRPr="00066A4E">
              <w:rPr>
                <w:rFonts w:ascii="Arial" w:hAnsi="Arial" w:cs="Arial"/>
              </w:rPr>
              <w:fldChar w:fldCharType="end"/>
            </w:r>
            <w:r w:rsidRPr="00066A4E">
              <w:rPr>
                <w:rFonts w:ascii="Arial" w:hAnsi="Arial" w:cs="Arial"/>
              </w:rPr>
              <w:t xml:space="preserve"> of </w:t>
            </w:r>
            <w:r w:rsidRPr="00066A4E">
              <w:rPr>
                <w:rFonts w:ascii="Arial" w:hAnsi="Arial" w:cs="Arial"/>
              </w:rPr>
              <w:fldChar w:fldCharType="begin"/>
            </w:r>
            <w:r w:rsidRPr="00066A4E">
              <w:rPr>
                <w:rFonts w:ascii="Arial" w:hAnsi="Arial" w:cs="Arial"/>
              </w:rPr>
              <w:instrText xml:space="preserve"> NUMPAGES  </w:instrText>
            </w:r>
            <w:r w:rsidRPr="00066A4E">
              <w:rPr>
                <w:rFonts w:ascii="Arial" w:hAnsi="Arial" w:cs="Arial"/>
              </w:rPr>
              <w:fldChar w:fldCharType="separate"/>
            </w:r>
            <w:r>
              <w:rPr>
                <w:rFonts w:ascii="Arial" w:hAnsi="Arial" w:cs="Arial"/>
              </w:rPr>
              <w:t>5</w:t>
            </w:r>
            <w:r w:rsidRPr="00066A4E">
              <w:rPr>
                <w:rFonts w:ascii="Arial" w:hAnsi="Arial" w:cs="Arial"/>
              </w:rPr>
              <w:fldChar w:fldCharType="end"/>
            </w:r>
          </w:sdtContent>
        </w:sdt>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8D044" w14:textId="77777777" w:rsidR="00260BFB" w:rsidRDefault="00260B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4690A7" w14:textId="77777777" w:rsidR="00E75C24" w:rsidRDefault="00E75C24" w:rsidP="00577E5A">
      <w:pPr>
        <w:pStyle w:val="Footer"/>
      </w:pPr>
    </w:p>
    <w:p w14:paraId="23285EF7" w14:textId="77777777" w:rsidR="00E75C24" w:rsidRPr="00577E5A" w:rsidRDefault="00E75C24" w:rsidP="00577E5A">
      <w:pPr>
        <w:pStyle w:val="Footer"/>
      </w:pPr>
      <w:r>
        <w:separator/>
      </w:r>
    </w:p>
  </w:footnote>
  <w:footnote w:type="continuationSeparator" w:id="0">
    <w:p w14:paraId="69BBF106" w14:textId="77777777" w:rsidR="00E75C24" w:rsidRDefault="00E75C24" w:rsidP="00CE604F">
      <w:r>
        <w:continuationSeparator/>
      </w:r>
    </w:p>
    <w:p w14:paraId="6A1A65BE" w14:textId="77777777" w:rsidR="00E75C24" w:rsidRDefault="00E75C24" w:rsidP="00CE604F"/>
    <w:p w14:paraId="11BE1FD0" w14:textId="77777777" w:rsidR="00E75C24" w:rsidRDefault="00E75C24" w:rsidP="00CE604F"/>
    <w:p w14:paraId="45D736B8" w14:textId="77777777" w:rsidR="00E75C24" w:rsidRDefault="00E75C24" w:rsidP="00CE604F"/>
  </w:footnote>
  <w:footnote w:type="continuationNotice" w:id="1">
    <w:p w14:paraId="7B3FD28C" w14:textId="77777777" w:rsidR="00BB3F49" w:rsidRDefault="00BB3F49">
      <w:pPr>
        <w:spacing w:line="240" w:lineRule="auto"/>
      </w:pPr>
    </w:p>
  </w:footnote>
  <w:footnote w:id="2">
    <w:p w14:paraId="72DD70BA" w14:textId="20F7472B" w:rsidR="00760FF2" w:rsidRDefault="00760FF2" w:rsidP="00FD166E">
      <w:pPr>
        <w:pStyle w:val="FootnoteText"/>
        <w:rPr>
          <w:sz w:val="18"/>
          <w:szCs w:val="18"/>
        </w:rPr>
      </w:pPr>
      <w:r w:rsidRPr="00A14872">
        <w:rPr>
          <w:rStyle w:val="FootnoteReference"/>
          <w:sz w:val="18"/>
          <w:szCs w:val="18"/>
        </w:rPr>
        <w:footnoteRef/>
      </w:r>
      <w:r w:rsidRPr="00A14872">
        <w:rPr>
          <w:sz w:val="18"/>
          <w:szCs w:val="18"/>
        </w:rPr>
        <w:t xml:space="preserve"> An </w:t>
      </w:r>
      <w:proofErr w:type="spellStart"/>
      <w:r w:rsidRPr="00A14872">
        <w:rPr>
          <w:sz w:val="18"/>
          <w:szCs w:val="18"/>
        </w:rPr>
        <w:t>adverse affect</w:t>
      </w:r>
      <w:proofErr w:type="spellEnd"/>
      <w:r w:rsidRPr="00A14872">
        <w:rPr>
          <w:sz w:val="18"/>
          <w:szCs w:val="18"/>
        </w:rPr>
        <w:t xml:space="preserve"> is a negative impact on the heritage place. The term </w:t>
      </w:r>
      <w:proofErr w:type="spellStart"/>
      <w:r w:rsidRPr="00A14872">
        <w:rPr>
          <w:sz w:val="18"/>
          <w:szCs w:val="18"/>
        </w:rPr>
        <w:t>adverse affect</w:t>
      </w:r>
      <w:proofErr w:type="spellEnd"/>
      <w:r w:rsidRPr="00A14872">
        <w:rPr>
          <w:sz w:val="18"/>
          <w:szCs w:val="18"/>
        </w:rPr>
        <w:t xml:space="preserve"> is used in the Planning Scheme, particularly in the Decision Guidelines at Clause 43.01-8.</w:t>
      </w:r>
    </w:p>
    <w:p w14:paraId="79F7A487" w14:textId="77777777" w:rsidR="00214E58" w:rsidRPr="00214E58" w:rsidRDefault="00214E58" w:rsidP="00760FF2">
      <w:pPr>
        <w:pStyle w:val="FootnoteText"/>
        <w:rPr>
          <w:sz w:val="18"/>
          <w:szCs w:val="18"/>
        </w:rPr>
      </w:pPr>
    </w:p>
  </w:footnote>
  <w:footnote w:id="3">
    <w:p w14:paraId="63328D5E" w14:textId="42EA11BE" w:rsidR="00563169" w:rsidRPr="00A433B5" w:rsidRDefault="00EE28C7" w:rsidP="00A433B5">
      <w:pPr>
        <w:pStyle w:val="FootnoteText"/>
        <w:spacing w:after="240"/>
        <w:rPr>
          <w:sz w:val="18"/>
          <w:szCs w:val="18"/>
        </w:rPr>
      </w:pPr>
      <w:r w:rsidRPr="00214E58">
        <w:rPr>
          <w:rStyle w:val="FootnoteReference"/>
          <w:sz w:val="18"/>
          <w:szCs w:val="18"/>
        </w:rPr>
        <w:footnoteRef/>
      </w:r>
      <w:r w:rsidRPr="00214E58">
        <w:rPr>
          <w:sz w:val="18"/>
          <w:szCs w:val="18"/>
        </w:rPr>
        <w:t xml:space="preserve"> See the City of Greater Geelong Heritage and Design Guidelines 1997 which gives an understanding about subservient proportions.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C6305" w14:textId="77777777" w:rsidR="00260BFB" w:rsidRDefault="00260B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B2120" w14:textId="77777777" w:rsidR="00260BFB" w:rsidRDefault="00260B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1B1B6" w14:textId="77777777" w:rsidR="00260BFB" w:rsidRDefault="00260B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8508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BDAD6C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F606D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22C42F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EF2296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9F4779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34239B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F78C52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F703AB8"/>
    <w:name w:val="PappasNumbering"/>
    <w:lvl w:ilvl="0">
      <w:start w:val="1"/>
      <w:numFmt w:val="decimal"/>
      <w:lvlText w:val="%1."/>
      <w:lvlJc w:val="left"/>
      <w:pPr>
        <w:tabs>
          <w:tab w:val="num" w:pos="340"/>
        </w:tabs>
        <w:ind w:left="340" w:hanging="340"/>
      </w:pPr>
      <w:rPr>
        <w:rFonts w:hint="default"/>
      </w:rPr>
    </w:lvl>
  </w:abstractNum>
  <w:abstractNum w:abstractNumId="9" w15:restartNumberingAfterBreak="0">
    <w:nsid w:val="FFFFFF89"/>
    <w:multiLevelType w:val="singleLevel"/>
    <w:tmpl w:val="0E80C21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7B4F94"/>
    <w:multiLevelType w:val="hybridMultilevel"/>
    <w:tmpl w:val="70D0582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1"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3" w15:restartNumberingAfterBreak="0">
    <w:nsid w:val="06BD2C4D"/>
    <w:multiLevelType w:val="hybridMultilevel"/>
    <w:tmpl w:val="7EC28128"/>
    <w:lvl w:ilvl="0" w:tplc="C2FE2BF2">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E6B4C57"/>
    <w:multiLevelType w:val="hybridMultilevel"/>
    <w:tmpl w:val="C980E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2BA0F51"/>
    <w:multiLevelType w:val="hybridMultilevel"/>
    <w:tmpl w:val="3BA82E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4AC302C"/>
    <w:multiLevelType w:val="hybridMultilevel"/>
    <w:tmpl w:val="6EDEA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8" w15:restartNumberingAfterBreak="0">
    <w:nsid w:val="1F93082A"/>
    <w:multiLevelType w:val="hybridMultilevel"/>
    <w:tmpl w:val="B2BEC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519614A"/>
    <w:multiLevelType w:val="hybridMultilevel"/>
    <w:tmpl w:val="3C8E5DD0"/>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0" w15:restartNumberingAfterBreak="0">
    <w:nsid w:val="2695669C"/>
    <w:multiLevelType w:val="hybridMultilevel"/>
    <w:tmpl w:val="673024D4"/>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1" w15:restartNumberingAfterBreak="0">
    <w:nsid w:val="29CF1CA2"/>
    <w:multiLevelType w:val="hybridMultilevel"/>
    <w:tmpl w:val="529ED95C"/>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2"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2F67474F"/>
    <w:multiLevelType w:val="hybridMultilevel"/>
    <w:tmpl w:val="34947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1CD5202"/>
    <w:multiLevelType w:val="hybridMultilevel"/>
    <w:tmpl w:val="B9F8FF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6A05992"/>
    <w:multiLevelType w:val="hybridMultilevel"/>
    <w:tmpl w:val="D2F20B5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7" w15:restartNumberingAfterBreak="0">
    <w:nsid w:val="386B2BDC"/>
    <w:multiLevelType w:val="multilevel"/>
    <w:tmpl w:val="8CF2BA86"/>
    <w:name w:val="Bullets"/>
    <w:lvl w:ilvl="0">
      <w:start w:val="1"/>
      <w:numFmt w:val="bullet"/>
      <w:pStyle w:val="ListBullet"/>
      <w:lvlText w:val=""/>
      <w:lvlJc w:val="left"/>
      <w:pPr>
        <w:tabs>
          <w:tab w:val="num" w:pos="284"/>
        </w:tabs>
        <w:ind w:left="284" w:hanging="284"/>
      </w:pPr>
      <w:rPr>
        <w:rFonts w:ascii="Symbol" w:hAnsi="Symbol" w:hint="default"/>
        <w:color w:val="auto"/>
        <w:position w:val="2"/>
        <w:sz w:val="20"/>
      </w:rPr>
    </w:lvl>
    <w:lvl w:ilvl="1">
      <w:start w:val="1"/>
      <w:numFmt w:val="bullet"/>
      <w:pStyle w:val="ListBullet2"/>
      <w:lvlText w:val="–"/>
      <w:lvlJc w:val="left"/>
      <w:pPr>
        <w:tabs>
          <w:tab w:val="num" w:pos="567"/>
        </w:tabs>
        <w:ind w:left="567" w:hanging="283"/>
      </w:pPr>
      <w:rPr>
        <w:rFonts w:ascii="Arial" w:hAnsi="Arial" w:hint="default"/>
        <w:color w:val="auto"/>
      </w:rPr>
    </w:lvl>
    <w:lvl w:ilvl="2">
      <w:start w:val="1"/>
      <w:numFmt w:val="bullet"/>
      <w:pStyle w:val="ListBullet3"/>
      <w:lvlText w:val="–"/>
      <w:lvlJc w:val="left"/>
      <w:pPr>
        <w:tabs>
          <w:tab w:val="num" w:pos="851"/>
        </w:tabs>
        <w:ind w:left="851" w:hanging="284"/>
      </w:pPr>
      <w:rPr>
        <w:rFonts w:ascii="Arial" w:hAnsi="Arial" w:hint="default"/>
        <w:color w:val="auto"/>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8" w15:restartNumberingAfterBreak="0">
    <w:nsid w:val="3EFC1420"/>
    <w:multiLevelType w:val="hybridMultilevel"/>
    <w:tmpl w:val="9D30CB94"/>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9" w15:restartNumberingAfterBreak="0">
    <w:nsid w:val="43111952"/>
    <w:multiLevelType w:val="multilevel"/>
    <w:tmpl w:val="31641E14"/>
    <w:lvl w:ilvl="0">
      <w:start w:val="1"/>
      <w:numFmt w:val="bullet"/>
      <w:lvlText w:val=""/>
      <w:lvlJc w:val="left"/>
      <w:pPr>
        <w:tabs>
          <w:tab w:val="num" w:pos="454"/>
        </w:tabs>
        <w:ind w:left="454" w:hanging="454"/>
      </w:pPr>
      <w:rPr>
        <w:rFonts w:ascii="Wingdings" w:hAnsi="Wingdings" w:hint="default"/>
        <w:b w:val="0"/>
        <w:i w:val="0"/>
        <w:position w:val="2"/>
        <w:sz w:val="14"/>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Wingdings" w:hAnsi="Wingdings" w:hint="default"/>
        <w:b w:val="0"/>
        <w:i w:val="0"/>
        <w:spacing w:val="0"/>
        <w:w w:val="100"/>
        <w:position w:val="3"/>
        <w:sz w:val="10"/>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44E011A4"/>
    <w:multiLevelType w:val="hybridMultilevel"/>
    <w:tmpl w:val="AAF89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5077265"/>
    <w:multiLevelType w:val="hybridMultilevel"/>
    <w:tmpl w:val="A86A684E"/>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32" w15:restartNumberingAfterBreak="0">
    <w:nsid w:val="4B6827DF"/>
    <w:multiLevelType w:val="hybridMultilevel"/>
    <w:tmpl w:val="82243622"/>
    <w:lvl w:ilvl="0" w:tplc="0C090001">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48C3447"/>
    <w:multiLevelType w:val="hybridMultilevel"/>
    <w:tmpl w:val="AB765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AC20426"/>
    <w:multiLevelType w:val="hybridMultilevel"/>
    <w:tmpl w:val="9F725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4A02C63"/>
    <w:multiLevelType w:val="hybridMultilevel"/>
    <w:tmpl w:val="3B1C0872"/>
    <w:lvl w:ilvl="0" w:tplc="7B26D71A">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A9D5234"/>
    <w:multiLevelType w:val="hybridMultilevel"/>
    <w:tmpl w:val="A134BE3C"/>
    <w:lvl w:ilvl="0" w:tplc="0C090005">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6E614A31"/>
    <w:multiLevelType w:val="hybridMultilevel"/>
    <w:tmpl w:val="F26EEA8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3D32607"/>
    <w:multiLevelType w:val="hybridMultilevel"/>
    <w:tmpl w:val="043CD6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16cid:durableId="1571622087">
    <w:abstractNumId w:val="22"/>
  </w:num>
  <w:num w:numId="2" w16cid:durableId="1459952939">
    <w:abstractNumId w:val="12"/>
  </w:num>
  <w:num w:numId="3" w16cid:durableId="1095436818">
    <w:abstractNumId w:val="39"/>
  </w:num>
  <w:num w:numId="4" w16cid:durableId="121726802">
    <w:abstractNumId w:val="23"/>
  </w:num>
  <w:num w:numId="5" w16cid:durableId="430245487">
    <w:abstractNumId w:val="11"/>
  </w:num>
  <w:num w:numId="6" w16cid:durableId="209345100">
    <w:abstractNumId w:val="29"/>
  </w:num>
  <w:num w:numId="7" w16cid:durableId="587151750">
    <w:abstractNumId w:val="3"/>
  </w:num>
  <w:num w:numId="8" w16cid:durableId="835026488">
    <w:abstractNumId w:val="9"/>
  </w:num>
  <w:num w:numId="9" w16cid:durableId="2068260861">
    <w:abstractNumId w:val="8"/>
  </w:num>
  <w:num w:numId="10" w16cid:durableId="1383407196">
    <w:abstractNumId w:val="2"/>
  </w:num>
  <w:num w:numId="11" w16cid:durableId="1996908099">
    <w:abstractNumId w:val="17"/>
  </w:num>
  <w:num w:numId="12" w16cid:durableId="1903365345">
    <w:abstractNumId w:val="27"/>
  </w:num>
  <w:num w:numId="13" w16cid:durableId="1081829631">
    <w:abstractNumId w:val="7"/>
  </w:num>
  <w:num w:numId="14" w16cid:durableId="1419521401">
    <w:abstractNumId w:val="6"/>
  </w:num>
  <w:num w:numId="15" w16cid:durableId="876042678">
    <w:abstractNumId w:val="9"/>
    <w:lvlOverride w:ilvl="0">
      <w:startOverride w:val="1"/>
    </w:lvlOverride>
  </w:num>
  <w:num w:numId="16" w16cid:durableId="377554187">
    <w:abstractNumId w:val="27"/>
  </w:num>
  <w:num w:numId="17" w16cid:durableId="1817601911">
    <w:abstractNumId w:val="27"/>
  </w:num>
  <w:num w:numId="18" w16cid:durableId="1323505607">
    <w:abstractNumId w:val="27"/>
  </w:num>
  <w:num w:numId="19" w16cid:durableId="206189543">
    <w:abstractNumId w:val="17"/>
  </w:num>
  <w:num w:numId="20" w16cid:durableId="1545486473">
    <w:abstractNumId w:val="17"/>
  </w:num>
  <w:num w:numId="21" w16cid:durableId="1257902691">
    <w:abstractNumId w:val="17"/>
  </w:num>
  <w:num w:numId="22" w16cid:durableId="192115434">
    <w:abstractNumId w:val="5"/>
  </w:num>
  <w:num w:numId="23" w16cid:durableId="977224622">
    <w:abstractNumId w:val="4"/>
  </w:num>
  <w:num w:numId="24" w16cid:durableId="1346521839">
    <w:abstractNumId w:val="1"/>
  </w:num>
  <w:num w:numId="25" w16cid:durableId="994335423">
    <w:abstractNumId w:val="0"/>
  </w:num>
  <w:num w:numId="26" w16cid:durableId="576088550">
    <w:abstractNumId w:val="14"/>
  </w:num>
  <w:num w:numId="27" w16cid:durableId="1521626348">
    <w:abstractNumId w:val="35"/>
  </w:num>
  <w:num w:numId="28" w16cid:durableId="601108703">
    <w:abstractNumId w:val="15"/>
  </w:num>
  <w:num w:numId="29" w16cid:durableId="14576285">
    <w:abstractNumId w:val="37"/>
  </w:num>
  <w:num w:numId="30" w16cid:durableId="1702785004">
    <w:abstractNumId w:val="30"/>
  </w:num>
  <w:num w:numId="31" w16cid:durableId="988904564">
    <w:abstractNumId w:val="38"/>
  </w:num>
  <w:num w:numId="32" w16cid:durableId="1687487535">
    <w:abstractNumId w:val="32"/>
  </w:num>
  <w:num w:numId="33" w16cid:durableId="980042911">
    <w:abstractNumId w:val="33"/>
  </w:num>
  <w:num w:numId="34" w16cid:durableId="2130124788">
    <w:abstractNumId w:val="16"/>
  </w:num>
  <w:num w:numId="35" w16cid:durableId="1682972792">
    <w:abstractNumId w:val="19"/>
  </w:num>
  <w:num w:numId="36" w16cid:durableId="1280914327">
    <w:abstractNumId w:val="28"/>
  </w:num>
  <w:num w:numId="37" w16cid:durableId="1407802885">
    <w:abstractNumId w:val="20"/>
  </w:num>
  <w:num w:numId="38" w16cid:durableId="1503542705">
    <w:abstractNumId w:val="31"/>
  </w:num>
  <w:num w:numId="39" w16cid:durableId="677971079">
    <w:abstractNumId w:val="18"/>
  </w:num>
  <w:num w:numId="40" w16cid:durableId="1710031102">
    <w:abstractNumId w:val="36"/>
  </w:num>
  <w:num w:numId="41" w16cid:durableId="781073484">
    <w:abstractNumId w:val="21"/>
  </w:num>
  <w:num w:numId="42" w16cid:durableId="343634050">
    <w:abstractNumId w:val="26"/>
  </w:num>
  <w:num w:numId="43" w16cid:durableId="1071579708">
    <w:abstractNumId w:val="10"/>
  </w:num>
  <w:num w:numId="44" w16cid:durableId="1405878447">
    <w:abstractNumId w:val="25"/>
  </w:num>
  <w:num w:numId="45" w16cid:durableId="641544786">
    <w:abstractNumId w:val="13"/>
  </w:num>
  <w:num w:numId="46" w16cid:durableId="1242105244">
    <w:abstractNumId w:val="24"/>
  </w:num>
  <w:num w:numId="47" w16cid:durableId="757990317">
    <w:abstractNumId w:val="3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grammar="clean"/>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232E"/>
    <w:rsid w:val="00002956"/>
    <w:rsid w:val="0000578C"/>
    <w:rsid w:val="00010362"/>
    <w:rsid w:val="000111C7"/>
    <w:rsid w:val="00012493"/>
    <w:rsid w:val="00013756"/>
    <w:rsid w:val="00014478"/>
    <w:rsid w:val="00015395"/>
    <w:rsid w:val="00015489"/>
    <w:rsid w:val="00021629"/>
    <w:rsid w:val="00022798"/>
    <w:rsid w:val="00024BC4"/>
    <w:rsid w:val="0002755A"/>
    <w:rsid w:val="000340A9"/>
    <w:rsid w:val="00035765"/>
    <w:rsid w:val="00035E23"/>
    <w:rsid w:val="00041675"/>
    <w:rsid w:val="00044A44"/>
    <w:rsid w:val="0004569C"/>
    <w:rsid w:val="000507F1"/>
    <w:rsid w:val="00051849"/>
    <w:rsid w:val="00056673"/>
    <w:rsid w:val="00066A4E"/>
    <w:rsid w:val="000710F1"/>
    <w:rsid w:val="00072C00"/>
    <w:rsid w:val="00073EB4"/>
    <w:rsid w:val="000767E6"/>
    <w:rsid w:val="00077EEC"/>
    <w:rsid w:val="0008298C"/>
    <w:rsid w:val="000830C8"/>
    <w:rsid w:val="000846FE"/>
    <w:rsid w:val="00086C5A"/>
    <w:rsid w:val="000873E7"/>
    <w:rsid w:val="0009017F"/>
    <w:rsid w:val="0009559C"/>
    <w:rsid w:val="00095E19"/>
    <w:rsid w:val="00096387"/>
    <w:rsid w:val="000A0633"/>
    <w:rsid w:val="000A2E11"/>
    <w:rsid w:val="000A3472"/>
    <w:rsid w:val="000A73E8"/>
    <w:rsid w:val="000B45F3"/>
    <w:rsid w:val="000B5463"/>
    <w:rsid w:val="000C2502"/>
    <w:rsid w:val="000C4EFB"/>
    <w:rsid w:val="000C6B29"/>
    <w:rsid w:val="000C7DD4"/>
    <w:rsid w:val="000C7EED"/>
    <w:rsid w:val="000D01AA"/>
    <w:rsid w:val="000D2D2C"/>
    <w:rsid w:val="000D5716"/>
    <w:rsid w:val="000D6EA5"/>
    <w:rsid w:val="000D760A"/>
    <w:rsid w:val="000E0072"/>
    <w:rsid w:val="000E22A7"/>
    <w:rsid w:val="000E3A31"/>
    <w:rsid w:val="000E46A7"/>
    <w:rsid w:val="000E4D86"/>
    <w:rsid w:val="000F1777"/>
    <w:rsid w:val="000F52FE"/>
    <w:rsid w:val="000F71C6"/>
    <w:rsid w:val="00100D1A"/>
    <w:rsid w:val="00100E9B"/>
    <w:rsid w:val="00103137"/>
    <w:rsid w:val="00104560"/>
    <w:rsid w:val="00105549"/>
    <w:rsid w:val="001110CB"/>
    <w:rsid w:val="0011365C"/>
    <w:rsid w:val="00113B8E"/>
    <w:rsid w:val="00114534"/>
    <w:rsid w:val="00115DBE"/>
    <w:rsid w:val="0011699E"/>
    <w:rsid w:val="001207DA"/>
    <w:rsid w:val="0012155D"/>
    <w:rsid w:val="00121968"/>
    <w:rsid w:val="0012356D"/>
    <w:rsid w:val="0012579D"/>
    <w:rsid w:val="00126586"/>
    <w:rsid w:val="00131977"/>
    <w:rsid w:val="001346A0"/>
    <w:rsid w:val="001359F2"/>
    <w:rsid w:val="0013729F"/>
    <w:rsid w:val="00142595"/>
    <w:rsid w:val="0015135C"/>
    <w:rsid w:val="00152D85"/>
    <w:rsid w:val="00153248"/>
    <w:rsid w:val="001546E5"/>
    <w:rsid w:val="0015593C"/>
    <w:rsid w:val="0015648D"/>
    <w:rsid w:val="001626E3"/>
    <w:rsid w:val="00162773"/>
    <w:rsid w:val="00162A63"/>
    <w:rsid w:val="00171B11"/>
    <w:rsid w:val="0017350B"/>
    <w:rsid w:val="00176807"/>
    <w:rsid w:val="001864B5"/>
    <w:rsid w:val="00191177"/>
    <w:rsid w:val="0019445B"/>
    <w:rsid w:val="001946CF"/>
    <w:rsid w:val="001947ED"/>
    <w:rsid w:val="00194A12"/>
    <w:rsid w:val="001963DF"/>
    <w:rsid w:val="00196728"/>
    <w:rsid w:val="001976D9"/>
    <w:rsid w:val="001A3E10"/>
    <w:rsid w:val="001A4ACD"/>
    <w:rsid w:val="001B0978"/>
    <w:rsid w:val="001B0E1A"/>
    <w:rsid w:val="001B1BE4"/>
    <w:rsid w:val="001B2648"/>
    <w:rsid w:val="001B3939"/>
    <w:rsid w:val="001B547E"/>
    <w:rsid w:val="001C0AC2"/>
    <w:rsid w:val="001C282D"/>
    <w:rsid w:val="001C32BF"/>
    <w:rsid w:val="001C4117"/>
    <w:rsid w:val="001C4CE0"/>
    <w:rsid w:val="001C5632"/>
    <w:rsid w:val="001C59DB"/>
    <w:rsid w:val="001C6741"/>
    <w:rsid w:val="001C6D0A"/>
    <w:rsid w:val="001D4D5B"/>
    <w:rsid w:val="001D5BB2"/>
    <w:rsid w:val="001E17BC"/>
    <w:rsid w:val="001E2677"/>
    <w:rsid w:val="001E444C"/>
    <w:rsid w:val="001E5696"/>
    <w:rsid w:val="001E6DFB"/>
    <w:rsid w:val="001F09FA"/>
    <w:rsid w:val="001F427B"/>
    <w:rsid w:val="001F5141"/>
    <w:rsid w:val="001F6962"/>
    <w:rsid w:val="001F733E"/>
    <w:rsid w:val="0020096F"/>
    <w:rsid w:val="00201159"/>
    <w:rsid w:val="00202F6B"/>
    <w:rsid w:val="00203CE7"/>
    <w:rsid w:val="00203E0D"/>
    <w:rsid w:val="00206A5B"/>
    <w:rsid w:val="002108F8"/>
    <w:rsid w:val="00210D17"/>
    <w:rsid w:val="00211C5A"/>
    <w:rsid w:val="00214DB3"/>
    <w:rsid w:val="00214E58"/>
    <w:rsid w:val="00215D8E"/>
    <w:rsid w:val="00215F5E"/>
    <w:rsid w:val="00217331"/>
    <w:rsid w:val="00220CCC"/>
    <w:rsid w:val="00221F39"/>
    <w:rsid w:val="00224A84"/>
    <w:rsid w:val="00230CF5"/>
    <w:rsid w:val="0023174E"/>
    <w:rsid w:val="002345A8"/>
    <w:rsid w:val="0023504A"/>
    <w:rsid w:val="00240500"/>
    <w:rsid w:val="00240905"/>
    <w:rsid w:val="002417C3"/>
    <w:rsid w:val="002435F7"/>
    <w:rsid w:val="00244DE0"/>
    <w:rsid w:val="00250A74"/>
    <w:rsid w:val="00250D31"/>
    <w:rsid w:val="00260B9B"/>
    <w:rsid w:val="00260BFB"/>
    <w:rsid w:val="00265342"/>
    <w:rsid w:val="002705AC"/>
    <w:rsid w:val="00271541"/>
    <w:rsid w:val="0027230C"/>
    <w:rsid w:val="002739C5"/>
    <w:rsid w:val="00275B0E"/>
    <w:rsid w:val="0027603E"/>
    <w:rsid w:val="00283B16"/>
    <w:rsid w:val="00284A44"/>
    <w:rsid w:val="002862A5"/>
    <w:rsid w:val="002877DD"/>
    <w:rsid w:val="002900A6"/>
    <w:rsid w:val="002914EA"/>
    <w:rsid w:val="002922E2"/>
    <w:rsid w:val="00294100"/>
    <w:rsid w:val="002A29EE"/>
    <w:rsid w:val="002A3E64"/>
    <w:rsid w:val="002A4D01"/>
    <w:rsid w:val="002A5BE4"/>
    <w:rsid w:val="002B1395"/>
    <w:rsid w:val="002B31ED"/>
    <w:rsid w:val="002B3442"/>
    <w:rsid w:val="002C0A60"/>
    <w:rsid w:val="002C3604"/>
    <w:rsid w:val="002C3D86"/>
    <w:rsid w:val="002C720A"/>
    <w:rsid w:val="002D06E5"/>
    <w:rsid w:val="002D2753"/>
    <w:rsid w:val="002D2C04"/>
    <w:rsid w:val="002D627C"/>
    <w:rsid w:val="002E0EFD"/>
    <w:rsid w:val="002E1732"/>
    <w:rsid w:val="002E1934"/>
    <w:rsid w:val="002E2D7B"/>
    <w:rsid w:val="002E391C"/>
    <w:rsid w:val="002E40ED"/>
    <w:rsid w:val="002E6DAC"/>
    <w:rsid w:val="002F61B9"/>
    <w:rsid w:val="002F70A4"/>
    <w:rsid w:val="002F7AEA"/>
    <w:rsid w:val="003007A4"/>
    <w:rsid w:val="003012F2"/>
    <w:rsid w:val="00301F58"/>
    <w:rsid w:val="00306FD8"/>
    <w:rsid w:val="00307229"/>
    <w:rsid w:val="00307A5C"/>
    <w:rsid w:val="00307C95"/>
    <w:rsid w:val="00312DB3"/>
    <w:rsid w:val="003145CC"/>
    <w:rsid w:val="003162EE"/>
    <w:rsid w:val="0031687D"/>
    <w:rsid w:val="00316A00"/>
    <w:rsid w:val="0031759E"/>
    <w:rsid w:val="0032261C"/>
    <w:rsid w:val="00323764"/>
    <w:rsid w:val="003257AA"/>
    <w:rsid w:val="003314CC"/>
    <w:rsid w:val="0033198A"/>
    <w:rsid w:val="00332582"/>
    <w:rsid w:val="0033295D"/>
    <w:rsid w:val="003357C3"/>
    <w:rsid w:val="0033654E"/>
    <w:rsid w:val="00340531"/>
    <w:rsid w:val="00343AF9"/>
    <w:rsid w:val="00343F6C"/>
    <w:rsid w:val="0035312E"/>
    <w:rsid w:val="003563BF"/>
    <w:rsid w:val="00357675"/>
    <w:rsid w:val="00361EB0"/>
    <w:rsid w:val="00362D65"/>
    <w:rsid w:val="00363D19"/>
    <w:rsid w:val="00363E56"/>
    <w:rsid w:val="00366F31"/>
    <w:rsid w:val="0037157C"/>
    <w:rsid w:val="00375CB8"/>
    <w:rsid w:val="003833CF"/>
    <w:rsid w:val="003853EB"/>
    <w:rsid w:val="00386225"/>
    <w:rsid w:val="00387230"/>
    <w:rsid w:val="003937FC"/>
    <w:rsid w:val="00395614"/>
    <w:rsid w:val="00395B75"/>
    <w:rsid w:val="00397FC3"/>
    <w:rsid w:val="003A10A9"/>
    <w:rsid w:val="003A1C7A"/>
    <w:rsid w:val="003A1DE6"/>
    <w:rsid w:val="003A2966"/>
    <w:rsid w:val="003A2B8D"/>
    <w:rsid w:val="003A75BE"/>
    <w:rsid w:val="003B183A"/>
    <w:rsid w:val="003B403F"/>
    <w:rsid w:val="003C3153"/>
    <w:rsid w:val="003C50E0"/>
    <w:rsid w:val="003C5A9B"/>
    <w:rsid w:val="003C6348"/>
    <w:rsid w:val="003D00CA"/>
    <w:rsid w:val="003D282E"/>
    <w:rsid w:val="003D2D7A"/>
    <w:rsid w:val="003D48DA"/>
    <w:rsid w:val="003D720C"/>
    <w:rsid w:val="003D7628"/>
    <w:rsid w:val="003E11F7"/>
    <w:rsid w:val="003E3B04"/>
    <w:rsid w:val="003E4573"/>
    <w:rsid w:val="003E45D3"/>
    <w:rsid w:val="003E4825"/>
    <w:rsid w:val="003F017A"/>
    <w:rsid w:val="003F3636"/>
    <w:rsid w:val="003F57A0"/>
    <w:rsid w:val="003F5E43"/>
    <w:rsid w:val="003F6374"/>
    <w:rsid w:val="003F77BB"/>
    <w:rsid w:val="004004EE"/>
    <w:rsid w:val="0040675E"/>
    <w:rsid w:val="00406F2C"/>
    <w:rsid w:val="0041053A"/>
    <w:rsid w:val="004107B6"/>
    <w:rsid w:val="00411F2C"/>
    <w:rsid w:val="0041214E"/>
    <w:rsid w:val="0041461E"/>
    <w:rsid w:val="00415619"/>
    <w:rsid w:val="0042172C"/>
    <w:rsid w:val="00421F96"/>
    <w:rsid w:val="00423980"/>
    <w:rsid w:val="004239D7"/>
    <w:rsid w:val="00426496"/>
    <w:rsid w:val="00426841"/>
    <w:rsid w:val="00430F87"/>
    <w:rsid w:val="00435C45"/>
    <w:rsid w:val="00436650"/>
    <w:rsid w:val="00437296"/>
    <w:rsid w:val="004419E3"/>
    <w:rsid w:val="00441BD4"/>
    <w:rsid w:val="0044273E"/>
    <w:rsid w:val="00442E43"/>
    <w:rsid w:val="00444C5F"/>
    <w:rsid w:val="004470FA"/>
    <w:rsid w:val="00447B04"/>
    <w:rsid w:val="00452A12"/>
    <w:rsid w:val="004560C6"/>
    <w:rsid w:val="00456338"/>
    <w:rsid w:val="004568F3"/>
    <w:rsid w:val="00461C05"/>
    <w:rsid w:val="00462820"/>
    <w:rsid w:val="0046333F"/>
    <w:rsid w:val="00466717"/>
    <w:rsid w:val="00466A5F"/>
    <w:rsid w:val="0047213D"/>
    <w:rsid w:val="004735CE"/>
    <w:rsid w:val="004748A0"/>
    <w:rsid w:val="0048346E"/>
    <w:rsid w:val="00484C6E"/>
    <w:rsid w:val="004853D9"/>
    <w:rsid w:val="0048747B"/>
    <w:rsid w:val="00487805"/>
    <w:rsid w:val="00490898"/>
    <w:rsid w:val="0049166C"/>
    <w:rsid w:val="004926A1"/>
    <w:rsid w:val="0049315B"/>
    <w:rsid w:val="00493CAF"/>
    <w:rsid w:val="00494757"/>
    <w:rsid w:val="00495432"/>
    <w:rsid w:val="00495902"/>
    <w:rsid w:val="00497577"/>
    <w:rsid w:val="004A1855"/>
    <w:rsid w:val="004A1ADD"/>
    <w:rsid w:val="004A1F23"/>
    <w:rsid w:val="004A4AE1"/>
    <w:rsid w:val="004A5CDE"/>
    <w:rsid w:val="004A625C"/>
    <w:rsid w:val="004A799E"/>
    <w:rsid w:val="004B2D0B"/>
    <w:rsid w:val="004B497A"/>
    <w:rsid w:val="004B5392"/>
    <w:rsid w:val="004B545B"/>
    <w:rsid w:val="004B6B3F"/>
    <w:rsid w:val="004C0A57"/>
    <w:rsid w:val="004C34A2"/>
    <w:rsid w:val="004C4929"/>
    <w:rsid w:val="004C5421"/>
    <w:rsid w:val="004C6349"/>
    <w:rsid w:val="004C7E24"/>
    <w:rsid w:val="004D070F"/>
    <w:rsid w:val="004D13DC"/>
    <w:rsid w:val="004D2DEE"/>
    <w:rsid w:val="004D392B"/>
    <w:rsid w:val="004D6F15"/>
    <w:rsid w:val="004E0DF1"/>
    <w:rsid w:val="004E1E84"/>
    <w:rsid w:val="004E3189"/>
    <w:rsid w:val="004E46BE"/>
    <w:rsid w:val="004E57CE"/>
    <w:rsid w:val="004E735A"/>
    <w:rsid w:val="004F0CBA"/>
    <w:rsid w:val="004F1592"/>
    <w:rsid w:val="004F31FF"/>
    <w:rsid w:val="004F46FF"/>
    <w:rsid w:val="004F4797"/>
    <w:rsid w:val="004F52AC"/>
    <w:rsid w:val="004F6746"/>
    <w:rsid w:val="00505CBE"/>
    <w:rsid w:val="00505E56"/>
    <w:rsid w:val="00506140"/>
    <w:rsid w:val="00506304"/>
    <w:rsid w:val="00507975"/>
    <w:rsid w:val="005114B9"/>
    <w:rsid w:val="005129D9"/>
    <w:rsid w:val="00512BC7"/>
    <w:rsid w:val="0051345A"/>
    <w:rsid w:val="00523A60"/>
    <w:rsid w:val="00531BEE"/>
    <w:rsid w:val="00533CE6"/>
    <w:rsid w:val="00534E77"/>
    <w:rsid w:val="005353AA"/>
    <w:rsid w:val="00537B75"/>
    <w:rsid w:val="00547BE1"/>
    <w:rsid w:val="00552ED1"/>
    <w:rsid w:val="00554F49"/>
    <w:rsid w:val="00555916"/>
    <w:rsid w:val="005562F1"/>
    <w:rsid w:val="005567C3"/>
    <w:rsid w:val="00557630"/>
    <w:rsid w:val="00557B84"/>
    <w:rsid w:val="0056052D"/>
    <w:rsid w:val="00561566"/>
    <w:rsid w:val="00561C65"/>
    <w:rsid w:val="00562776"/>
    <w:rsid w:val="00563121"/>
    <w:rsid w:val="00563169"/>
    <w:rsid w:val="00573ACC"/>
    <w:rsid w:val="00577E5A"/>
    <w:rsid w:val="005840BC"/>
    <w:rsid w:val="00584289"/>
    <w:rsid w:val="005844F6"/>
    <w:rsid w:val="00585605"/>
    <w:rsid w:val="00587CCE"/>
    <w:rsid w:val="00593193"/>
    <w:rsid w:val="00593EDF"/>
    <w:rsid w:val="00595475"/>
    <w:rsid w:val="00595895"/>
    <w:rsid w:val="00595CB5"/>
    <w:rsid w:val="005A5255"/>
    <w:rsid w:val="005B14A2"/>
    <w:rsid w:val="005B374E"/>
    <w:rsid w:val="005B4482"/>
    <w:rsid w:val="005B7F2F"/>
    <w:rsid w:val="005C11CA"/>
    <w:rsid w:val="005C2017"/>
    <w:rsid w:val="005C232E"/>
    <w:rsid w:val="005C428F"/>
    <w:rsid w:val="005D006C"/>
    <w:rsid w:val="005D0BB6"/>
    <w:rsid w:val="005D35B0"/>
    <w:rsid w:val="005D47B0"/>
    <w:rsid w:val="005D4B4A"/>
    <w:rsid w:val="005D65D1"/>
    <w:rsid w:val="005E5955"/>
    <w:rsid w:val="005E729D"/>
    <w:rsid w:val="005E7FBF"/>
    <w:rsid w:val="005F41FE"/>
    <w:rsid w:val="005F4AC4"/>
    <w:rsid w:val="005F5864"/>
    <w:rsid w:val="005F5C2B"/>
    <w:rsid w:val="00603066"/>
    <w:rsid w:val="00603E11"/>
    <w:rsid w:val="00607476"/>
    <w:rsid w:val="00607FD8"/>
    <w:rsid w:val="00613BAE"/>
    <w:rsid w:val="0061505F"/>
    <w:rsid w:val="0061751B"/>
    <w:rsid w:val="0062297D"/>
    <w:rsid w:val="006251CD"/>
    <w:rsid w:val="00626FA0"/>
    <w:rsid w:val="006338FE"/>
    <w:rsid w:val="00634604"/>
    <w:rsid w:val="006400AE"/>
    <w:rsid w:val="00645D96"/>
    <w:rsid w:val="006515CD"/>
    <w:rsid w:val="00652496"/>
    <w:rsid w:val="00653A59"/>
    <w:rsid w:val="00654462"/>
    <w:rsid w:val="006545E3"/>
    <w:rsid w:val="0065589F"/>
    <w:rsid w:val="00657AC6"/>
    <w:rsid w:val="00657C88"/>
    <w:rsid w:val="006608C0"/>
    <w:rsid w:val="006617AA"/>
    <w:rsid w:val="00662EC6"/>
    <w:rsid w:val="006640D1"/>
    <w:rsid w:val="006656DB"/>
    <w:rsid w:val="006673BC"/>
    <w:rsid w:val="00667A4A"/>
    <w:rsid w:val="006706F6"/>
    <w:rsid w:val="0067249B"/>
    <w:rsid w:val="00675F83"/>
    <w:rsid w:val="006769BA"/>
    <w:rsid w:val="00676B87"/>
    <w:rsid w:val="00677EE0"/>
    <w:rsid w:val="00680DFB"/>
    <w:rsid w:val="0068456E"/>
    <w:rsid w:val="00686375"/>
    <w:rsid w:val="0068762B"/>
    <w:rsid w:val="00692620"/>
    <w:rsid w:val="00692792"/>
    <w:rsid w:val="00695489"/>
    <w:rsid w:val="00697C2F"/>
    <w:rsid w:val="006A0287"/>
    <w:rsid w:val="006A1C58"/>
    <w:rsid w:val="006A2BF7"/>
    <w:rsid w:val="006A2F21"/>
    <w:rsid w:val="006A4A02"/>
    <w:rsid w:val="006B5921"/>
    <w:rsid w:val="006B5B56"/>
    <w:rsid w:val="006C059A"/>
    <w:rsid w:val="006C06CC"/>
    <w:rsid w:val="006C20B3"/>
    <w:rsid w:val="006C596B"/>
    <w:rsid w:val="006D39B9"/>
    <w:rsid w:val="006D4E09"/>
    <w:rsid w:val="006D5F9B"/>
    <w:rsid w:val="006E58AA"/>
    <w:rsid w:val="006E6E31"/>
    <w:rsid w:val="006F0469"/>
    <w:rsid w:val="006F2C20"/>
    <w:rsid w:val="006F2E46"/>
    <w:rsid w:val="006F7B35"/>
    <w:rsid w:val="007003CF"/>
    <w:rsid w:val="00701A83"/>
    <w:rsid w:val="00702575"/>
    <w:rsid w:val="007033DF"/>
    <w:rsid w:val="00703498"/>
    <w:rsid w:val="00705479"/>
    <w:rsid w:val="00705838"/>
    <w:rsid w:val="0070686B"/>
    <w:rsid w:val="00706881"/>
    <w:rsid w:val="0070694E"/>
    <w:rsid w:val="00706BE0"/>
    <w:rsid w:val="00706FD3"/>
    <w:rsid w:val="00710616"/>
    <w:rsid w:val="00710E29"/>
    <w:rsid w:val="00712E1C"/>
    <w:rsid w:val="00716827"/>
    <w:rsid w:val="00717673"/>
    <w:rsid w:val="007207EC"/>
    <w:rsid w:val="00722063"/>
    <w:rsid w:val="00730BC4"/>
    <w:rsid w:val="00730F33"/>
    <w:rsid w:val="00733AB9"/>
    <w:rsid w:val="00735058"/>
    <w:rsid w:val="00735917"/>
    <w:rsid w:val="00740BE0"/>
    <w:rsid w:val="00742416"/>
    <w:rsid w:val="00742B67"/>
    <w:rsid w:val="00743140"/>
    <w:rsid w:val="00746C8F"/>
    <w:rsid w:val="00746CAB"/>
    <w:rsid w:val="007526FA"/>
    <w:rsid w:val="007528B7"/>
    <w:rsid w:val="00754905"/>
    <w:rsid w:val="007554AE"/>
    <w:rsid w:val="00760FF2"/>
    <w:rsid w:val="00762601"/>
    <w:rsid w:val="007641F5"/>
    <w:rsid w:val="00765E2C"/>
    <w:rsid w:val="00767952"/>
    <w:rsid w:val="00772844"/>
    <w:rsid w:val="00773F6E"/>
    <w:rsid w:val="007744BD"/>
    <w:rsid w:val="0077461F"/>
    <w:rsid w:val="00774933"/>
    <w:rsid w:val="0077640A"/>
    <w:rsid w:val="007819D3"/>
    <w:rsid w:val="00781A61"/>
    <w:rsid w:val="007826B3"/>
    <w:rsid w:val="00783165"/>
    <w:rsid w:val="007861DF"/>
    <w:rsid w:val="00787A5E"/>
    <w:rsid w:val="00787DEE"/>
    <w:rsid w:val="00790D82"/>
    <w:rsid w:val="00790FBF"/>
    <w:rsid w:val="007924DE"/>
    <w:rsid w:val="00792944"/>
    <w:rsid w:val="007950CA"/>
    <w:rsid w:val="00795B14"/>
    <w:rsid w:val="0079690B"/>
    <w:rsid w:val="007A1CDE"/>
    <w:rsid w:val="007A4A19"/>
    <w:rsid w:val="007A602F"/>
    <w:rsid w:val="007A75B8"/>
    <w:rsid w:val="007A7DD9"/>
    <w:rsid w:val="007B057E"/>
    <w:rsid w:val="007B12C6"/>
    <w:rsid w:val="007C0A4C"/>
    <w:rsid w:val="007C1EB3"/>
    <w:rsid w:val="007C5426"/>
    <w:rsid w:val="007C5AF5"/>
    <w:rsid w:val="007C5D2E"/>
    <w:rsid w:val="007D39C8"/>
    <w:rsid w:val="007D41CC"/>
    <w:rsid w:val="007D5312"/>
    <w:rsid w:val="007D788F"/>
    <w:rsid w:val="007E0193"/>
    <w:rsid w:val="007E23B9"/>
    <w:rsid w:val="007E34EA"/>
    <w:rsid w:val="007E377D"/>
    <w:rsid w:val="007E39FE"/>
    <w:rsid w:val="007F00D2"/>
    <w:rsid w:val="007F05D2"/>
    <w:rsid w:val="007F09FD"/>
    <w:rsid w:val="007F2170"/>
    <w:rsid w:val="007F6DB7"/>
    <w:rsid w:val="008046A0"/>
    <w:rsid w:val="008066AA"/>
    <w:rsid w:val="00806719"/>
    <w:rsid w:val="00811019"/>
    <w:rsid w:val="008115C3"/>
    <w:rsid w:val="008143BB"/>
    <w:rsid w:val="0081677D"/>
    <w:rsid w:val="008169A6"/>
    <w:rsid w:val="008205AA"/>
    <w:rsid w:val="0082497E"/>
    <w:rsid w:val="008266DF"/>
    <w:rsid w:val="00827659"/>
    <w:rsid w:val="00830EAA"/>
    <w:rsid w:val="0083162B"/>
    <w:rsid w:val="0083186E"/>
    <w:rsid w:val="00840C40"/>
    <w:rsid w:val="00841D8C"/>
    <w:rsid w:val="008428C4"/>
    <w:rsid w:val="008429D4"/>
    <w:rsid w:val="00846338"/>
    <w:rsid w:val="00847025"/>
    <w:rsid w:val="008471FD"/>
    <w:rsid w:val="00847D90"/>
    <w:rsid w:val="008508A6"/>
    <w:rsid w:val="00854CEA"/>
    <w:rsid w:val="00860935"/>
    <w:rsid w:val="008616F3"/>
    <w:rsid w:val="008619BC"/>
    <w:rsid w:val="00861F48"/>
    <w:rsid w:val="00862661"/>
    <w:rsid w:val="00864767"/>
    <w:rsid w:val="00864D97"/>
    <w:rsid w:val="00873021"/>
    <w:rsid w:val="0087344F"/>
    <w:rsid w:val="00877063"/>
    <w:rsid w:val="008832AA"/>
    <w:rsid w:val="00883625"/>
    <w:rsid w:val="0088517D"/>
    <w:rsid w:val="00891DC9"/>
    <w:rsid w:val="00892B02"/>
    <w:rsid w:val="00893BCA"/>
    <w:rsid w:val="0089401B"/>
    <w:rsid w:val="008A05EE"/>
    <w:rsid w:val="008A0DA4"/>
    <w:rsid w:val="008A57C6"/>
    <w:rsid w:val="008B0101"/>
    <w:rsid w:val="008B12C3"/>
    <w:rsid w:val="008B1448"/>
    <w:rsid w:val="008B1B97"/>
    <w:rsid w:val="008B2A9A"/>
    <w:rsid w:val="008B4DB4"/>
    <w:rsid w:val="008C2D6D"/>
    <w:rsid w:val="008C2EA9"/>
    <w:rsid w:val="008C4380"/>
    <w:rsid w:val="008C5092"/>
    <w:rsid w:val="008D5F8A"/>
    <w:rsid w:val="008E13E8"/>
    <w:rsid w:val="008E31E1"/>
    <w:rsid w:val="008E54EE"/>
    <w:rsid w:val="008E5D63"/>
    <w:rsid w:val="008F1EC2"/>
    <w:rsid w:val="008F3B94"/>
    <w:rsid w:val="008F5002"/>
    <w:rsid w:val="008F6661"/>
    <w:rsid w:val="0090003F"/>
    <w:rsid w:val="00903402"/>
    <w:rsid w:val="00903687"/>
    <w:rsid w:val="00903CD6"/>
    <w:rsid w:val="00910D31"/>
    <w:rsid w:val="009115AB"/>
    <w:rsid w:val="00912336"/>
    <w:rsid w:val="009145CB"/>
    <w:rsid w:val="00916064"/>
    <w:rsid w:val="009172F6"/>
    <w:rsid w:val="00917875"/>
    <w:rsid w:val="00922F59"/>
    <w:rsid w:val="00923269"/>
    <w:rsid w:val="00930869"/>
    <w:rsid w:val="0093235E"/>
    <w:rsid w:val="00935050"/>
    <w:rsid w:val="009374DA"/>
    <w:rsid w:val="009375F6"/>
    <w:rsid w:val="00937703"/>
    <w:rsid w:val="0093771A"/>
    <w:rsid w:val="00944C1D"/>
    <w:rsid w:val="0094605E"/>
    <w:rsid w:val="0094658A"/>
    <w:rsid w:val="00951770"/>
    <w:rsid w:val="00953ABE"/>
    <w:rsid w:val="00954C94"/>
    <w:rsid w:val="009602B8"/>
    <w:rsid w:val="009606AA"/>
    <w:rsid w:val="00963ABA"/>
    <w:rsid w:val="00966B72"/>
    <w:rsid w:val="00966C88"/>
    <w:rsid w:val="00966E6B"/>
    <w:rsid w:val="00967AE0"/>
    <w:rsid w:val="00970733"/>
    <w:rsid w:val="00971677"/>
    <w:rsid w:val="00972889"/>
    <w:rsid w:val="00973210"/>
    <w:rsid w:val="009737B7"/>
    <w:rsid w:val="009804E0"/>
    <w:rsid w:val="00981378"/>
    <w:rsid w:val="0098181D"/>
    <w:rsid w:val="0098415F"/>
    <w:rsid w:val="00984A8A"/>
    <w:rsid w:val="00985876"/>
    <w:rsid w:val="00985A11"/>
    <w:rsid w:val="00986051"/>
    <w:rsid w:val="00986C85"/>
    <w:rsid w:val="00990847"/>
    <w:rsid w:val="00991EAA"/>
    <w:rsid w:val="00992A30"/>
    <w:rsid w:val="00994008"/>
    <w:rsid w:val="00994CB7"/>
    <w:rsid w:val="00995379"/>
    <w:rsid w:val="00995A1B"/>
    <w:rsid w:val="009976E0"/>
    <w:rsid w:val="009A2615"/>
    <w:rsid w:val="009A2FBA"/>
    <w:rsid w:val="009A3360"/>
    <w:rsid w:val="009A38C0"/>
    <w:rsid w:val="009A6E43"/>
    <w:rsid w:val="009B2A8B"/>
    <w:rsid w:val="009B5D92"/>
    <w:rsid w:val="009C5C32"/>
    <w:rsid w:val="009C6294"/>
    <w:rsid w:val="009D1112"/>
    <w:rsid w:val="009D17A0"/>
    <w:rsid w:val="009D6278"/>
    <w:rsid w:val="009E0153"/>
    <w:rsid w:val="009E3888"/>
    <w:rsid w:val="009E4906"/>
    <w:rsid w:val="009E73E5"/>
    <w:rsid w:val="009F184B"/>
    <w:rsid w:val="009F25EE"/>
    <w:rsid w:val="009F395A"/>
    <w:rsid w:val="009F44CD"/>
    <w:rsid w:val="009F64EF"/>
    <w:rsid w:val="00A01D7D"/>
    <w:rsid w:val="00A02A49"/>
    <w:rsid w:val="00A02F5D"/>
    <w:rsid w:val="00A0565A"/>
    <w:rsid w:val="00A12C87"/>
    <w:rsid w:val="00A14872"/>
    <w:rsid w:val="00A15D80"/>
    <w:rsid w:val="00A15EF9"/>
    <w:rsid w:val="00A17099"/>
    <w:rsid w:val="00A171D7"/>
    <w:rsid w:val="00A21F56"/>
    <w:rsid w:val="00A24C55"/>
    <w:rsid w:val="00A26D88"/>
    <w:rsid w:val="00A2738C"/>
    <w:rsid w:val="00A27EBF"/>
    <w:rsid w:val="00A32811"/>
    <w:rsid w:val="00A32819"/>
    <w:rsid w:val="00A33464"/>
    <w:rsid w:val="00A33B33"/>
    <w:rsid w:val="00A33F91"/>
    <w:rsid w:val="00A348DA"/>
    <w:rsid w:val="00A377BC"/>
    <w:rsid w:val="00A37A83"/>
    <w:rsid w:val="00A37C70"/>
    <w:rsid w:val="00A41F86"/>
    <w:rsid w:val="00A433B5"/>
    <w:rsid w:val="00A4340C"/>
    <w:rsid w:val="00A44DFF"/>
    <w:rsid w:val="00A4776F"/>
    <w:rsid w:val="00A50A9E"/>
    <w:rsid w:val="00A529E9"/>
    <w:rsid w:val="00A54310"/>
    <w:rsid w:val="00A56528"/>
    <w:rsid w:val="00A605AC"/>
    <w:rsid w:val="00A61E23"/>
    <w:rsid w:val="00A6452F"/>
    <w:rsid w:val="00A65A34"/>
    <w:rsid w:val="00A75C29"/>
    <w:rsid w:val="00A77DE3"/>
    <w:rsid w:val="00A804D7"/>
    <w:rsid w:val="00A815D8"/>
    <w:rsid w:val="00A82BB2"/>
    <w:rsid w:val="00A83926"/>
    <w:rsid w:val="00A855D3"/>
    <w:rsid w:val="00A86479"/>
    <w:rsid w:val="00A93275"/>
    <w:rsid w:val="00A93988"/>
    <w:rsid w:val="00A939AF"/>
    <w:rsid w:val="00A93C0B"/>
    <w:rsid w:val="00A941D5"/>
    <w:rsid w:val="00A94BB6"/>
    <w:rsid w:val="00A94C7E"/>
    <w:rsid w:val="00A95D42"/>
    <w:rsid w:val="00A97124"/>
    <w:rsid w:val="00AA624F"/>
    <w:rsid w:val="00AA751F"/>
    <w:rsid w:val="00AA7BAA"/>
    <w:rsid w:val="00AB449E"/>
    <w:rsid w:val="00AB458A"/>
    <w:rsid w:val="00AB4A85"/>
    <w:rsid w:val="00AB5839"/>
    <w:rsid w:val="00AC0510"/>
    <w:rsid w:val="00AC1E0E"/>
    <w:rsid w:val="00AC44C6"/>
    <w:rsid w:val="00AC767E"/>
    <w:rsid w:val="00AD1420"/>
    <w:rsid w:val="00AD37D4"/>
    <w:rsid w:val="00AD38E4"/>
    <w:rsid w:val="00AD440A"/>
    <w:rsid w:val="00AD45EE"/>
    <w:rsid w:val="00AD4E4D"/>
    <w:rsid w:val="00AD7CEB"/>
    <w:rsid w:val="00AE5FC8"/>
    <w:rsid w:val="00AE76BF"/>
    <w:rsid w:val="00AF1E1F"/>
    <w:rsid w:val="00AF214F"/>
    <w:rsid w:val="00AF386C"/>
    <w:rsid w:val="00AF452B"/>
    <w:rsid w:val="00B01FA4"/>
    <w:rsid w:val="00B03C9D"/>
    <w:rsid w:val="00B04F66"/>
    <w:rsid w:val="00B05946"/>
    <w:rsid w:val="00B1031B"/>
    <w:rsid w:val="00B111ED"/>
    <w:rsid w:val="00B118A3"/>
    <w:rsid w:val="00B14589"/>
    <w:rsid w:val="00B15409"/>
    <w:rsid w:val="00B206FB"/>
    <w:rsid w:val="00B2085D"/>
    <w:rsid w:val="00B21E43"/>
    <w:rsid w:val="00B21E88"/>
    <w:rsid w:val="00B21F67"/>
    <w:rsid w:val="00B21F6A"/>
    <w:rsid w:val="00B22F71"/>
    <w:rsid w:val="00B2376C"/>
    <w:rsid w:val="00B32E22"/>
    <w:rsid w:val="00B3762D"/>
    <w:rsid w:val="00B47952"/>
    <w:rsid w:val="00B50EB7"/>
    <w:rsid w:val="00B52826"/>
    <w:rsid w:val="00B53034"/>
    <w:rsid w:val="00B5359B"/>
    <w:rsid w:val="00B60586"/>
    <w:rsid w:val="00B60D98"/>
    <w:rsid w:val="00B60F65"/>
    <w:rsid w:val="00B67069"/>
    <w:rsid w:val="00B670B4"/>
    <w:rsid w:val="00B67D19"/>
    <w:rsid w:val="00B711A3"/>
    <w:rsid w:val="00B72E76"/>
    <w:rsid w:val="00B7301C"/>
    <w:rsid w:val="00B734A1"/>
    <w:rsid w:val="00B837E4"/>
    <w:rsid w:val="00B8443A"/>
    <w:rsid w:val="00B8454C"/>
    <w:rsid w:val="00B85B84"/>
    <w:rsid w:val="00B87DEE"/>
    <w:rsid w:val="00B90618"/>
    <w:rsid w:val="00B933FD"/>
    <w:rsid w:val="00B95649"/>
    <w:rsid w:val="00B9575B"/>
    <w:rsid w:val="00B9688F"/>
    <w:rsid w:val="00B97711"/>
    <w:rsid w:val="00BA0A5C"/>
    <w:rsid w:val="00BA1870"/>
    <w:rsid w:val="00BA36E0"/>
    <w:rsid w:val="00BA3AD2"/>
    <w:rsid w:val="00BA540D"/>
    <w:rsid w:val="00BA75D5"/>
    <w:rsid w:val="00BA7C57"/>
    <w:rsid w:val="00BB0D0A"/>
    <w:rsid w:val="00BB105F"/>
    <w:rsid w:val="00BB17CB"/>
    <w:rsid w:val="00BB1ADB"/>
    <w:rsid w:val="00BB3B96"/>
    <w:rsid w:val="00BB3F49"/>
    <w:rsid w:val="00BB4393"/>
    <w:rsid w:val="00BB47F2"/>
    <w:rsid w:val="00BC3ECB"/>
    <w:rsid w:val="00BC7CEF"/>
    <w:rsid w:val="00BD17CB"/>
    <w:rsid w:val="00BD2821"/>
    <w:rsid w:val="00BD6396"/>
    <w:rsid w:val="00BE05D0"/>
    <w:rsid w:val="00BE1CD2"/>
    <w:rsid w:val="00BE62D4"/>
    <w:rsid w:val="00BE779A"/>
    <w:rsid w:val="00BF3A65"/>
    <w:rsid w:val="00BF3B55"/>
    <w:rsid w:val="00BF3F49"/>
    <w:rsid w:val="00C000E0"/>
    <w:rsid w:val="00C04A64"/>
    <w:rsid w:val="00C04F80"/>
    <w:rsid w:val="00C05C35"/>
    <w:rsid w:val="00C07297"/>
    <w:rsid w:val="00C13A9B"/>
    <w:rsid w:val="00C1594A"/>
    <w:rsid w:val="00C162F8"/>
    <w:rsid w:val="00C1724D"/>
    <w:rsid w:val="00C21008"/>
    <w:rsid w:val="00C21EBD"/>
    <w:rsid w:val="00C223F7"/>
    <w:rsid w:val="00C24133"/>
    <w:rsid w:val="00C25111"/>
    <w:rsid w:val="00C25162"/>
    <w:rsid w:val="00C255E9"/>
    <w:rsid w:val="00C27A26"/>
    <w:rsid w:val="00C303C2"/>
    <w:rsid w:val="00C33EF9"/>
    <w:rsid w:val="00C34ACD"/>
    <w:rsid w:val="00C34B7D"/>
    <w:rsid w:val="00C34DD9"/>
    <w:rsid w:val="00C4198E"/>
    <w:rsid w:val="00C424D2"/>
    <w:rsid w:val="00C44D3C"/>
    <w:rsid w:val="00C46957"/>
    <w:rsid w:val="00C50069"/>
    <w:rsid w:val="00C5027F"/>
    <w:rsid w:val="00C5068B"/>
    <w:rsid w:val="00C513DF"/>
    <w:rsid w:val="00C559D8"/>
    <w:rsid w:val="00C609EC"/>
    <w:rsid w:val="00C62DC6"/>
    <w:rsid w:val="00C6312A"/>
    <w:rsid w:val="00C65F7E"/>
    <w:rsid w:val="00C66329"/>
    <w:rsid w:val="00C70725"/>
    <w:rsid w:val="00C70CF4"/>
    <w:rsid w:val="00C73186"/>
    <w:rsid w:val="00C73616"/>
    <w:rsid w:val="00C7497D"/>
    <w:rsid w:val="00C76782"/>
    <w:rsid w:val="00C7698C"/>
    <w:rsid w:val="00C807A8"/>
    <w:rsid w:val="00C80F0E"/>
    <w:rsid w:val="00C815F2"/>
    <w:rsid w:val="00C83561"/>
    <w:rsid w:val="00C851C0"/>
    <w:rsid w:val="00C857E7"/>
    <w:rsid w:val="00C85A44"/>
    <w:rsid w:val="00C85B0C"/>
    <w:rsid w:val="00C85DF2"/>
    <w:rsid w:val="00C86E4D"/>
    <w:rsid w:val="00C877ED"/>
    <w:rsid w:val="00C9089B"/>
    <w:rsid w:val="00C911BB"/>
    <w:rsid w:val="00C92BE5"/>
    <w:rsid w:val="00C92F09"/>
    <w:rsid w:val="00C979E0"/>
    <w:rsid w:val="00CA0C46"/>
    <w:rsid w:val="00CA3449"/>
    <w:rsid w:val="00CA5679"/>
    <w:rsid w:val="00CA7121"/>
    <w:rsid w:val="00CA7859"/>
    <w:rsid w:val="00CB1160"/>
    <w:rsid w:val="00CB53F2"/>
    <w:rsid w:val="00CB5A5B"/>
    <w:rsid w:val="00CB6F87"/>
    <w:rsid w:val="00CC0B96"/>
    <w:rsid w:val="00CC1E6D"/>
    <w:rsid w:val="00CC2FEF"/>
    <w:rsid w:val="00CC3035"/>
    <w:rsid w:val="00CC3849"/>
    <w:rsid w:val="00CC5C3E"/>
    <w:rsid w:val="00CD1460"/>
    <w:rsid w:val="00CD4B89"/>
    <w:rsid w:val="00CD5416"/>
    <w:rsid w:val="00CD69B9"/>
    <w:rsid w:val="00CD6A15"/>
    <w:rsid w:val="00CE0BDC"/>
    <w:rsid w:val="00CE2F73"/>
    <w:rsid w:val="00CE3F4B"/>
    <w:rsid w:val="00CE604F"/>
    <w:rsid w:val="00CE6C8C"/>
    <w:rsid w:val="00CF0500"/>
    <w:rsid w:val="00CF2B50"/>
    <w:rsid w:val="00CF3059"/>
    <w:rsid w:val="00CF54C2"/>
    <w:rsid w:val="00CF6228"/>
    <w:rsid w:val="00CF6E6A"/>
    <w:rsid w:val="00CF721A"/>
    <w:rsid w:val="00D02339"/>
    <w:rsid w:val="00D034A7"/>
    <w:rsid w:val="00D03F1C"/>
    <w:rsid w:val="00D04820"/>
    <w:rsid w:val="00D06AD4"/>
    <w:rsid w:val="00D10B3F"/>
    <w:rsid w:val="00D124D3"/>
    <w:rsid w:val="00D17B78"/>
    <w:rsid w:val="00D20815"/>
    <w:rsid w:val="00D234F2"/>
    <w:rsid w:val="00D23FD2"/>
    <w:rsid w:val="00D24945"/>
    <w:rsid w:val="00D26389"/>
    <w:rsid w:val="00D2719A"/>
    <w:rsid w:val="00D30873"/>
    <w:rsid w:val="00D3557F"/>
    <w:rsid w:val="00D37654"/>
    <w:rsid w:val="00D42FA1"/>
    <w:rsid w:val="00D45B79"/>
    <w:rsid w:val="00D46970"/>
    <w:rsid w:val="00D46BB0"/>
    <w:rsid w:val="00D506DE"/>
    <w:rsid w:val="00D51C03"/>
    <w:rsid w:val="00D52465"/>
    <w:rsid w:val="00D57E54"/>
    <w:rsid w:val="00D6017D"/>
    <w:rsid w:val="00D64540"/>
    <w:rsid w:val="00D6642E"/>
    <w:rsid w:val="00D705CE"/>
    <w:rsid w:val="00D71D96"/>
    <w:rsid w:val="00D72DB9"/>
    <w:rsid w:val="00D72E8E"/>
    <w:rsid w:val="00D7569B"/>
    <w:rsid w:val="00D84484"/>
    <w:rsid w:val="00D90123"/>
    <w:rsid w:val="00D914F2"/>
    <w:rsid w:val="00D918DE"/>
    <w:rsid w:val="00D91CAC"/>
    <w:rsid w:val="00D9361E"/>
    <w:rsid w:val="00D93B10"/>
    <w:rsid w:val="00D94981"/>
    <w:rsid w:val="00DA02EF"/>
    <w:rsid w:val="00DA1A48"/>
    <w:rsid w:val="00DA1A93"/>
    <w:rsid w:val="00DB0119"/>
    <w:rsid w:val="00DB03DC"/>
    <w:rsid w:val="00DB2401"/>
    <w:rsid w:val="00DB329F"/>
    <w:rsid w:val="00DB5D80"/>
    <w:rsid w:val="00DB6164"/>
    <w:rsid w:val="00DB63C0"/>
    <w:rsid w:val="00DB6D80"/>
    <w:rsid w:val="00DB75DA"/>
    <w:rsid w:val="00DC257D"/>
    <w:rsid w:val="00DC59A9"/>
    <w:rsid w:val="00DC5C5C"/>
    <w:rsid w:val="00DC6238"/>
    <w:rsid w:val="00DC6E85"/>
    <w:rsid w:val="00DC76F8"/>
    <w:rsid w:val="00DC7FF7"/>
    <w:rsid w:val="00DD27FD"/>
    <w:rsid w:val="00DD373C"/>
    <w:rsid w:val="00DD5283"/>
    <w:rsid w:val="00DD5813"/>
    <w:rsid w:val="00DD5FD9"/>
    <w:rsid w:val="00DD765B"/>
    <w:rsid w:val="00DE0466"/>
    <w:rsid w:val="00DE0904"/>
    <w:rsid w:val="00DE20AE"/>
    <w:rsid w:val="00DE323A"/>
    <w:rsid w:val="00DE671C"/>
    <w:rsid w:val="00DE7EE2"/>
    <w:rsid w:val="00DF1357"/>
    <w:rsid w:val="00DF1565"/>
    <w:rsid w:val="00DF273A"/>
    <w:rsid w:val="00DF43C8"/>
    <w:rsid w:val="00DF5912"/>
    <w:rsid w:val="00DF59B9"/>
    <w:rsid w:val="00DF6574"/>
    <w:rsid w:val="00DF669F"/>
    <w:rsid w:val="00E002F7"/>
    <w:rsid w:val="00E1054B"/>
    <w:rsid w:val="00E110DA"/>
    <w:rsid w:val="00E1112D"/>
    <w:rsid w:val="00E1361A"/>
    <w:rsid w:val="00E20ED0"/>
    <w:rsid w:val="00E20F8F"/>
    <w:rsid w:val="00E23E90"/>
    <w:rsid w:val="00E26469"/>
    <w:rsid w:val="00E26BAA"/>
    <w:rsid w:val="00E26EA7"/>
    <w:rsid w:val="00E30A2A"/>
    <w:rsid w:val="00E30C03"/>
    <w:rsid w:val="00E32337"/>
    <w:rsid w:val="00E32F60"/>
    <w:rsid w:val="00E33C5A"/>
    <w:rsid w:val="00E3775C"/>
    <w:rsid w:val="00E4067B"/>
    <w:rsid w:val="00E45641"/>
    <w:rsid w:val="00E46529"/>
    <w:rsid w:val="00E46C48"/>
    <w:rsid w:val="00E508AB"/>
    <w:rsid w:val="00E51F76"/>
    <w:rsid w:val="00E52EEE"/>
    <w:rsid w:val="00E64FA8"/>
    <w:rsid w:val="00E75C24"/>
    <w:rsid w:val="00E75FD9"/>
    <w:rsid w:val="00E77406"/>
    <w:rsid w:val="00E7768B"/>
    <w:rsid w:val="00E8144B"/>
    <w:rsid w:val="00E8179E"/>
    <w:rsid w:val="00E84466"/>
    <w:rsid w:val="00E85B22"/>
    <w:rsid w:val="00E93FF9"/>
    <w:rsid w:val="00E95F23"/>
    <w:rsid w:val="00E9635A"/>
    <w:rsid w:val="00E96E92"/>
    <w:rsid w:val="00EA055D"/>
    <w:rsid w:val="00EA1085"/>
    <w:rsid w:val="00EA40AC"/>
    <w:rsid w:val="00EA42AD"/>
    <w:rsid w:val="00EB082E"/>
    <w:rsid w:val="00EB134B"/>
    <w:rsid w:val="00EB34CD"/>
    <w:rsid w:val="00EB4577"/>
    <w:rsid w:val="00EB7290"/>
    <w:rsid w:val="00EB7B88"/>
    <w:rsid w:val="00EC1D8C"/>
    <w:rsid w:val="00ED14CD"/>
    <w:rsid w:val="00ED47A9"/>
    <w:rsid w:val="00ED6F85"/>
    <w:rsid w:val="00EE28C7"/>
    <w:rsid w:val="00EE3331"/>
    <w:rsid w:val="00EE4EFC"/>
    <w:rsid w:val="00EE5C6F"/>
    <w:rsid w:val="00EE7207"/>
    <w:rsid w:val="00EF31D4"/>
    <w:rsid w:val="00EF6258"/>
    <w:rsid w:val="00EF6E8B"/>
    <w:rsid w:val="00EF7C07"/>
    <w:rsid w:val="00F023C8"/>
    <w:rsid w:val="00F0243E"/>
    <w:rsid w:val="00F04026"/>
    <w:rsid w:val="00F0710E"/>
    <w:rsid w:val="00F10DDF"/>
    <w:rsid w:val="00F14500"/>
    <w:rsid w:val="00F14CA8"/>
    <w:rsid w:val="00F174E3"/>
    <w:rsid w:val="00F20798"/>
    <w:rsid w:val="00F20E6E"/>
    <w:rsid w:val="00F21594"/>
    <w:rsid w:val="00F2195C"/>
    <w:rsid w:val="00F219C5"/>
    <w:rsid w:val="00F232F4"/>
    <w:rsid w:val="00F24802"/>
    <w:rsid w:val="00F31E87"/>
    <w:rsid w:val="00F32305"/>
    <w:rsid w:val="00F33B65"/>
    <w:rsid w:val="00F344F5"/>
    <w:rsid w:val="00F34DCD"/>
    <w:rsid w:val="00F36B83"/>
    <w:rsid w:val="00F375CF"/>
    <w:rsid w:val="00F41CB8"/>
    <w:rsid w:val="00F44F2C"/>
    <w:rsid w:val="00F45AA5"/>
    <w:rsid w:val="00F45C2E"/>
    <w:rsid w:val="00F468FD"/>
    <w:rsid w:val="00F51B2F"/>
    <w:rsid w:val="00F52C96"/>
    <w:rsid w:val="00F53D12"/>
    <w:rsid w:val="00F53EC4"/>
    <w:rsid w:val="00F53F4C"/>
    <w:rsid w:val="00F5407A"/>
    <w:rsid w:val="00F56982"/>
    <w:rsid w:val="00F60A8F"/>
    <w:rsid w:val="00F60DB9"/>
    <w:rsid w:val="00F60E4F"/>
    <w:rsid w:val="00F633E3"/>
    <w:rsid w:val="00F64372"/>
    <w:rsid w:val="00F65C1E"/>
    <w:rsid w:val="00F65F0D"/>
    <w:rsid w:val="00F70426"/>
    <w:rsid w:val="00F71DEE"/>
    <w:rsid w:val="00F71F40"/>
    <w:rsid w:val="00F731A4"/>
    <w:rsid w:val="00F73718"/>
    <w:rsid w:val="00F74686"/>
    <w:rsid w:val="00F757B1"/>
    <w:rsid w:val="00F80344"/>
    <w:rsid w:val="00F8171D"/>
    <w:rsid w:val="00F85E5B"/>
    <w:rsid w:val="00F87BD1"/>
    <w:rsid w:val="00F91075"/>
    <w:rsid w:val="00F91152"/>
    <w:rsid w:val="00F9166C"/>
    <w:rsid w:val="00F926CF"/>
    <w:rsid w:val="00F938C2"/>
    <w:rsid w:val="00F939D5"/>
    <w:rsid w:val="00F93C8D"/>
    <w:rsid w:val="00F942E8"/>
    <w:rsid w:val="00F947F4"/>
    <w:rsid w:val="00F95742"/>
    <w:rsid w:val="00FA193C"/>
    <w:rsid w:val="00FA2D85"/>
    <w:rsid w:val="00FA3ABA"/>
    <w:rsid w:val="00FA3EEC"/>
    <w:rsid w:val="00FA4F20"/>
    <w:rsid w:val="00FA77C1"/>
    <w:rsid w:val="00FB175A"/>
    <w:rsid w:val="00FB4D03"/>
    <w:rsid w:val="00FB61A9"/>
    <w:rsid w:val="00FB6F24"/>
    <w:rsid w:val="00FB7679"/>
    <w:rsid w:val="00FC0043"/>
    <w:rsid w:val="00FC1EDC"/>
    <w:rsid w:val="00FC4BBB"/>
    <w:rsid w:val="00FD10D7"/>
    <w:rsid w:val="00FD166E"/>
    <w:rsid w:val="00FD1ED4"/>
    <w:rsid w:val="00FD2407"/>
    <w:rsid w:val="00FD306A"/>
    <w:rsid w:val="00FD36D9"/>
    <w:rsid w:val="00FD57F5"/>
    <w:rsid w:val="00FD668F"/>
    <w:rsid w:val="00FD7DC7"/>
    <w:rsid w:val="00FD7E58"/>
    <w:rsid w:val="00FE0A31"/>
    <w:rsid w:val="00FE0DB5"/>
    <w:rsid w:val="00FE1E37"/>
    <w:rsid w:val="00FE3EEB"/>
    <w:rsid w:val="00FE446D"/>
    <w:rsid w:val="00FE697B"/>
    <w:rsid w:val="00FF16CF"/>
    <w:rsid w:val="00FF23FF"/>
    <w:rsid w:val="00FF3BC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DDD9958"/>
  <w15:docId w15:val="{A595056F-65B2-4000-8D24-92FC4D366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sz w:val="18"/>
        <w:szCs w:val="18"/>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1461E"/>
    <w:pPr>
      <w:spacing w:line="270" w:lineRule="atLeast"/>
    </w:pPr>
  </w:style>
  <w:style w:type="paragraph" w:styleId="Heading1">
    <w:name w:val="heading 1"/>
    <w:basedOn w:val="BodyText"/>
    <w:next w:val="BodyText"/>
    <w:link w:val="Heading1Char"/>
    <w:qFormat/>
    <w:rsid w:val="004B545B"/>
    <w:pPr>
      <w:keepNext/>
      <w:spacing w:before="300" w:after="100" w:line="240" w:lineRule="auto"/>
      <w:outlineLvl w:val="0"/>
    </w:pPr>
    <w:rPr>
      <w:rFonts w:asciiTheme="majorHAnsi" w:hAnsiTheme="majorHAnsi"/>
      <w:b/>
      <w:caps/>
      <w:color w:val="003263" w:themeColor="text2"/>
      <w:spacing w:val="6"/>
      <w:sz w:val="22"/>
    </w:rPr>
  </w:style>
  <w:style w:type="paragraph" w:styleId="Heading2">
    <w:name w:val="heading 2"/>
    <w:basedOn w:val="BodyText"/>
    <w:next w:val="BodyText"/>
    <w:qFormat/>
    <w:rsid w:val="004B545B"/>
    <w:pPr>
      <w:keepNext/>
      <w:spacing w:before="300" w:after="100" w:line="240" w:lineRule="auto"/>
      <w:outlineLvl w:val="1"/>
    </w:pPr>
    <w:rPr>
      <w:rFonts w:asciiTheme="majorHAnsi" w:hAnsiTheme="majorHAnsi"/>
      <w:b/>
      <w:color w:val="003263" w:themeColor="text2"/>
      <w:spacing w:val="6"/>
      <w:sz w:val="20"/>
    </w:rPr>
  </w:style>
  <w:style w:type="paragraph" w:styleId="Heading3">
    <w:name w:val="heading 3"/>
    <w:basedOn w:val="Normal"/>
    <w:next w:val="BodyText"/>
    <w:qFormat/>
    <w:rsid w:val="004B545B"/>
    <w:pPr>
      <w:spacing w:before="300" w:after="120" w:line="240" w:lineRule="auto"/>
      <w:outlineLvl w:val="2"/>
    </w:pPr>
    <w:rPr>
      <w:rFonts w:asciiTheme="majorHAnsi" w:hAnsiTheme="majorHAnsi"/>
      <w:i/>
      <w:color w:val="003263" w:themeColor="text2"/>
      <w:spacing w:val="6"/>
      <w:sz w:val="20"/>
    </w:rPr>
  </w:style>
  <w:style w:type="paragraph" w:styleId="Heading4">
    <w:name w:val="heading 4"/>
    <w:basedOn w:val="Normal"/>
    <w:next w:val="BodyText"/>
    <w:semiHidden/>
    <w:rsid w:val="0013729F"/>
    <w:pPr>
      <w:keepNext/>
      <w:spacing w:before="260" w:line="259" w:lineRule="auto"/>
      <w:outlineLvl w:val="3"/>
    </w:pPr>
    <w:rPr>
      <w:bCs/>
      <w:i/>
      <w:szCs w:val="28"/>
    </w:rPr>
  </w:style>
  <w:style w:type="paragraph" w:styleId="Heading5">
    <w:name w:val="heading 5"/>
    <w:basedOn w:val="Normal"/>
    <w:next w:val="Normal"/>
    <w:semiHidden/>
    <w:rsid w:val="00BF3A65"/>
    <w:pPr>
      <w:spacing w:before="240" w:after="60"/>
      <w:outlineLvl w:val="4"/>
    </w:pPr>
    <w:rPr>
      <w:b/>
      <w:bCs/>
      <w:i/>
      <w:iCs/>
      <w:sz w:val="26"/>
      <w:szCs w:val="26"/>
    </w:rPr>
  </w:style>
  <w:style w:type="paragraph" w:styleId="Heading6">
    <w:name w:val="heading 6"/>
    <w:basedOn w:val="Normal"/>
    <w:next w:val="Normal"/>
    <w:semiHidden/>
    <w:rsid w:val="00BF3A65"/>
    <w:pPr>
      <w:spacing w:before="240" w:after="60"/>
      <w:outlineLvl w:val="5"/>
    </w:pPr>
    <w:rPr>
      <w:b/>
      <w:bCs/>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17B78"/>
    <w:pPr>
      <w:tabs>
        <w:tab w:val="center" w:pos="4513"/>
        <w:tab w:val="right" w:pos="9026"/>
      </w:tabs>
    </w:pPr>
  </w:style>
  <w:style w:type="character" w:customStyle="1" w:styleId="HeaderChar">
    <w:name w:val="Header Char"/>
    <w:basedOn w:val="DefaultParagraphFont"/>
    <w:link w:val="Header"/>
    <w:uiPriority w:val="99"/>
    <w:rsid w:val="00860935"/>
  </w:style>
  <w:style w:type="paragraph" w:styleId="Footer">
    <w:name w:val="footer"/>
    <w:basedOn w:val="Normal"/>
    <w:link w:val="FooterChar"/>
    <w:uiPriority w:val="99"/>
    <w:rsid w:val="001F6962"/>
  </w:style>
  <w:style w:type="character" w:customStyle="1" w:styleId="FooterChar">
    <w:name w:val="Footer Char"/>
    <w:basedOn w:val="DefaultParagraphFont"/>
    <w:link w:val="Footer"/>
    <w:uiPriority w:val="99"/>
    <w:rsid w:val="00860935"/>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uiPriority w:val="59"/>
    <w:rsid w:val="00654462"/>
    <w:pPr>
      <w:spacing w:line="200" w:lineRule="exact"/>
      <w:ind w:left="113" w:right="113"/>
    </w:pPr>
    <w:rPr>
      <w:sz w:val="16"/>
    </w:rPr>
    <w:tblPr>
      <w:tblBorders>
        <w:top w:val="single" w:sz="4" w:space="0" w:color="8ACED7" w:themeColor="accent1"/>
        <w:bottom w:val="single" w:sz="4" w:space="0" w:color="8ACED7" w:themeColor="accent1"/>
        <w:insideH w:val="single" w:sz="4" w:space="0" w:color="8ACED7" w:themeColor="accent1"/>
      </w:tblBorders>
      <w:tblCellMar>
        <w:left w:w="0" w:type="dxa"/>
        <w:bottom w:w="79" w:type="dxa"/>
        <w:right w:w="0" w:type="dxa"/>
      </w:tblCellMar>
    </w:tblPr>
    <w:tcPr>
      <w:vAlign w:val="center"/>
    </w:tcPr>
    <w:tblStylePr w:type="firstRow">
      <w:pPr>
        <w:wordWrap/>
        <w:spacing w:beforeLines="0" w:before="0" w:beforeAutospacing="0" w:afterLines="0" w:after="0" w:afterAutospacing="0" w:line="180" w:lineRule="exact"/>
        <w:jc w:val="left"/>
      </w:pPr>
      <w:rPr>
        <w:rFonts w:asciiTheme="majorHAnsi" w:hAnsiTheme="majorHAnsi"/>
        <w:b/>
        <w:caps/>
        <w:smallCaps w:val="0"/>
        <w:color w:val="FFFFFF" w:themeColor="background1"/>
        <w:spacing w:val="6"/>
        <w:sz w:val="22"/>
      </w:rPr>
      <w:tblPr/>
      <w:trPr>
        <w:tblHeader/>
      </w:trPr>
      <w:tcPr>
        <w:shd w:val="clear" w:color="auto" w:fill="8ACED7" w:themeFill="accent1"/>
        <w:tcMar>
          <w:top w:w="40" w:type="dxa"/>
          <w:left w:w="0" w:type="nil"/>
          <w:bottom w:w="45" w:type="dxa"/>
          <w:right w:w="0" w:type="nil"/>
        </w:tcMar>
      </w:tcPr>
    </w:tblStylePr>
    <w:tblStylePr w:type="firstCol">
      <w:pPr>
        <w:jc w:val="left"/>
      </w:pPr>
      <w:rPr>
        <w:b/>
        <w:caps/>
        <w:smallCaps w:val="0"/>
      </w:rPr>
      <w:tblPr/>
      <w:tcPr>
        <w:vAlign w:val="center"/>
      </w:tcPr>
    </w:tblStylePr>
  </w:style>
  <w:style w:type="paragraph" w:styleId="BodyText">
    <w:name w:val="Body Text"/>
    <w:basedOn w:val="Normal"/>
    <w:link w:val="BodyTextChar"/>
    <w:qFormat/>
    <w:rsid w:val="00CE3F4B"/>
    <w:pPr>
      <w:spacing w:before="100" w:after="200"/>
    </w:pPr>
  </w:style>
  <w:style w:type="character" w:customStyle="1" w:styleId="BodyTextChar">
    <w:name w:val="Body Text Char"/>
    <w:basedOn w:val="DefaultParagraphFont"/>
    <w:link w:val="BodyText"/>
    <w:rsid w:val="00CE3F4B"/>
  </w:style>
  <w:style w:type="paragraph" w:styleId="ListBullet">
    <w:name w:val="List Bullet"/>
    <w:basedOn w:val="BodyText"/>
    <w:uiPriority w:val="1"/>
    <w:qFormat/>
    <w:rsid w:val="004B545B"/>
    <w:pPr>
      <w:numPr>
        <w:numId w:val="18"/>
      </w:numPr>
      <w:spacing w:after="100"/>
    </w:pPr>
  </w:style>
  <w:style w:type="paragraph" w:styleId="ListBullet2">
    <w:name w:val="List Bullet 2"/>
    <w:basedOn w:val="ListBullet"/>
    <w:uiPriority w:val="1"/>
    <w:qFormat/>
    <w:rsid w:val="004B545B"/>
    <w:pPr>
      <w:numPr>
        <w:ilvl w:val="1"/>
      </w:numPr>
    </w:pPr>
  </w:style>
  <w:style w:type="paragraph" w:styleId="ListBullet3">
    <w:name w:val="List Bullet 3"/>
    <w:basedOn w:val="ListBullet2"/>
    <w:uiPriority w:val="1"/>
    <w:qFormat/>
    <w:rsid w:val="004B545B"/>
    <w:pPr>
      <w:numPr>
        <w:ilvl w:val="2"/>
      </w:numPr>
    </w:pPr>
  </w:style>
  <w:style w:type="paragraph" w:styleId="ListNumber">
    <w:name w:val="List Number"/>
    <w:basedOn w:val="BodyText"/>
    <w:uiPriority w:val="1"/>
    <w:qFormat/>
    <w:rsid w:val="004B545B"/>
    <w:pPr>
      <w:numPr>
        <w:numId w:val="21"/>
      </w:numPr>
      <w:spacing w:after="100"/>
    </w:pPr>
  </w:style>
  <w:style w:type="paragraph" w:styleId="ListNumber2">
    <w:name w:val="List Number 2"/>
    <w:basedOn w:val="ListNumber"/>
    <w:uiPriority w:val="1"/>
    <w:qFormat/>
    <w:rsid w:val="004B545B"/>
    <w:pPr>
      <w:numPr>
        <w:ilvl w:val="1"/>
      </w:numPr>
    </w:pPr>
  </w:style>
  <w:style w:type="paragraph" w:styleId="ListNumber3">
    <w:name w:val="List Number 3"/>
    <w:basedOn w:val="ListNumber2"/>
    <w:uiPriority w:val="1"/>
    <w:qFormat/>
    <w:rsid w:val="004B545B"/>
    <w:pPr>
      <w:numPr>
        <w:ilvl w:val="2"/>
      </w:numPr>
      <w:ind w:left="1020" w:hanging="340"/>
    </w:pPr>
  </w:style>
  <w:style w:type="character" w:styleId="PlaceholderText">
    <w:name w:val="Placeholder Text"/>
    <w:basedOn w:val="DefaultParagraphFont"/>
    <w:uiPriority w:val="99"/>
    <w:semiHidden/>
    <w:rsid w:val="009A2FBA"/>
    <w:rPr>
      <w:color w:val="808080"/>
    </w:rPr>
  </w:style>
  <w:style w:type="paragraph" w:customStyle="1" w:styleId="Spacebeforetable">
    <w:name w:val="Space before table"/>
    <w:basedOn w:val="Normal"/>
    <w:qFormat/>
    <w:rsid w:val="001207DA"/>
    <w:pPr>
      <w:spacing w:after="60"/>
    </w:pPr>
  </w:style>
  <w:style w:type="paragraph" w:styleId="Title">
    <w:name w:val="Title"/>
    <w:basedOn w:val="Normal"/>
    <w:next w:val="Normal"/>
    <w:link w:val="TitleChar"/>
    <w:rsid w:val="007207EC"/>
    <w:pPr>
      <w:spacing w:before="1060" w:after="440" w:line="192" w:lineRule="auto"/>
      <w:ind w:left="227"/>
      <w:contextualSpacing/>
    </w:pPr>
    <w:rPr>
      <w:rFonts w:asciiTheme="majorHAnsi" w:eastAsiaTheme="majorEastAsia" w:hAnsiTheme="majorHAnsi" w:cstheme="majorBidi"/>
      <w:b/>
      <w:caps/>
      <w:color w:val="003263" w:themeColor="text2"/>
      <w:spacing w:val="18"/>
      <w:kern w:val="28"/>
      <w:sz w:val="52"/>
      <w:szCs w:val="56"/>
    </w:rPr>
  </w:style>
  <w:style w:type="character" w:customStyle="1" w:styleId="TitleChar">
    <w:name w:val="Title Char"/>
    <w:basedOn w:val="DefaultParagraphFont"/>
    <w:link w:val="Title"/>
    <w:rsid w:val="007207EC"/>
    <w:rPr>
      <w:rFonts w:asciiTheme="majorHAnsi" w:eastAsiaTheme="majorEastAsia" w:hAnsiTheme="majorHAnsi" w:cstheme="majorBidi"/>
      <w:b/>
      <w:caps/>
      <w:color w:val="003263" w:themeColor="text2"/>
      <w:spacing w:val="18"/>
      <w:kern w:val="28"/>
      <w:sz w:val="52"/>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231F2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BFE4FF" w:themeFill="accent3" w:themeFillTint="33"/>
    </w:tcPr>
    <w:tblStylePr w:type="firstRow">
      <w:rPr>
        <w:b/>
        <w:bCs/>
      </w:rPr>
      <w:tblPr/>
      <w:tcPr>
        <w:shd w:val="clear" w:color="auto" w:fill="7FC9FF" w:themeFill="accent3" w:themeFillTint="66"/>
      </w:tcPr>
    </w:tblStylePr>
    <w:tblStylePr w:type="lastRow">
      <w:rPr>
        <w:b/>
        <w:bCs/>
        <w:color w:val="231F20" w:themeColor="text1"/>
      </w:rPr>
      <w:tblPr/>
      <w:tcPr>
        <w:shd w:val="clear" w:color="auto" w:fill="7FC9FF" w:themeFill="accent3" w:themeFillTint="66"/>
      </w:tcPr>
    </w:tblStylePr>
    <w:tblStylePr w:type="firstCol">
      <w:rPr>
        <w:color w:val="FFFFFF" w:themeColor="background1"/>
      </w:rPr>
      <w:tblPr/>
      <w:tcPr>
        <w:shd w:val="clear" w:color="auto" w:fill="00538F" w:themeFill="accent3" w:themeFillShade="BF"/>
      </w:tcPr>
    </w:tblStylePr>
    <w:tblStylePr w:type="lastCol">
      <w:rPr>
        <w:color w:val="FFFFFF" w:themeColor="background1"/>
      </w:rPr>
      <w:tblPr/>
      <w:tcPr>
        <w:shd w:val="clear" w:color="auto" w:fill="00538F" w:themeFill="accent3" w:themeFillShade="BF"/>
      </w:tcPr>
    </w:tblStylePr>
    <w:tblStylePr w:type="band1Vert">
      <w:tblPr/>
      <w:tcPr>
        <w:shd w:val="clear" w:color="auto" w:fill="60BCFF" w:themeFill="accent3" w:themeFillTint="7F"/>
      </w:tcPr>
    </w:tblStylePr>
    <w:tblStylePr w:type="band1Horz">
      <w:tblPr/>
      <w:tcPr>
        <w:shd w:val="clear" w:color="auto" w:fill="60BCFF"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9F5DB" w:themeFill="accent4" w:themeFillTint="33"/>
    </w:tcPr>
    <w:tblStylePr w:type="firstRow">
      <w:rPr>
        <w:b/>
        <w:bCs/>
      </w:rPr>
      <w:tblPr/>
      <w:tcPr>
        <w:shd w:val="clear" w:color="auto" w:fill="D3ECB8" w:themeFill="accent4" w:themeFillTint="66"/>
      </w:tcPr>
    </w:tblStylePr>
    <w:tblStylePr w:type="lastRow">
      <w:rPr>
        <w:b/>
        <w:bCs/>
        <w:color w:val="231F20" w:themeColor="text1"/>
      </w:rPr>
      <w:tblPr/>
      <w:tcPr>
        <w:shd w:val="clear" w:color="auto" w:fill="D3ECB8" w:themeFill="accent4" w:themeFillTint="66"/>
      </w:tcPr>
    </w:tblStylePr>
    <w:tblStylePr w:type="firstCol">
      <w:rPr>
        <w:color w:val="FFFFFF" w:themeColor="background1"/>
      </w:rPr>
      <w:tblPr/>
      <w:tcPr>
        <w:shd w:val="clear" w:color="auto" w:fill="6DA92D" w:themeFill="accent4" w:themeFillShade="BF"/>
      </w:tcPr>
    </w:tblStylePr>
    <w:tblStylePr w:type="lastCol">
      <w:rPr>
        <w:color w:val="FFFFFF" w:themeColor="background1"/>
      </w:rPr>
      <w:tblPr/>
      <w:tcPr>
        <w:shd w:val="clear" w:color="auto" w:fill="6DA92D" w:themeFill="accent4" w:themeFillShade="BF"/>
      </w:tcPr>
    </w:tblStylePr>
    <w:tblStylePr w:type="band1Vert">
      <w:tblPr/>
      <w:tcPr>
        <w:shd w:val="clear" w:color="auto" w:fill="C8E7A7" w:themeFill="accent4" w:themeFillTint="7F"/>
      </w:tcPr>
    </w:tblStylePr>
    <w:tblStylePr w:type="band1Horz">
      <w:tblPr/>
      <w:tcPr>
        <w:shd w:val="clear" w:color="auto" w:fill="C8E7A7"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DE9D9" w:themeFill="accent5" w:themeFillTint="33"/>
    </w:tcPr>
    <w:tblStylePr w:type="firstRow">
      <w:rPr>
        <w:b/>
        <w:bCs/>
      </w:rPr>
      <w:tblPr/>
      <w:tcPr>
        <w:shd w:val="clear" w:color="auto" w:fill="FBD4B4" w:themeFill="accent5" w:themeFillTint="66"/>
      </w:tcPr>
    </w:tblStylePr>
    <w:tblStylePr w:type="lastRow">
      <w:rPr>
        <w:b/>
        <w:bCs/>
        <w:color w:val="231F20" w:themeColor="text1"/>
      </w:rPr>
      <w:tblPr/>
      <w:tcPr>
        <w:shd w:val="clear" w:color="auto" w:fill="FBD4B4" w:themeFill="accent5" w:themeFillTint="66"/>
      </w:tcPr>
    </w:tblStylePr>
    <w:tblStylePr w:type="firstCol">
      <w:rPr>
        <w:color w:val="FFFFFF" w:themeColor="background1"/>
      </w:rPr>
      <w:tblPr/>
      <w:tcPr>
        <w:shd w:val="clear" w:color="auto" w:fill="E36C0A" w:themeFill="accent5" w:themeFillShade="BF"/>
      </w:tcPr>
    </w:tblStylePr>
    <w:tblStylePr w:type="lastCol">
      <w:rPr>
        <w:color w:val="FFFFFF" w:themeColor="background1"/>
      </w:rPr>
      <w:tblPr/>
      <w:tcPr>
        <w:shd w:val="clear" w:color="auto" w:fill="E36C0A" w:themeFill="accent5" w:themeFillShade="BF"/>
      </w:tcPr>
    </w:tblStylePr>
    <w:tblStylePr w:type="band1Vert">
      <w:tblPr/>
      <w:tcPr>
        <w:shd w:val="clear" w:color="auto" w:fill="FBCAA2" w:themeFill="accent5" w:themeFillTint="7F"/>
      </w:tcPr>
    </w:tblStylePr>
    <w:tblStylePr w:type="band1Horz">
      <w:tblPr/>
      <w:tcPr>
        <w:shd w:val="clear" w:color="auto" w:fill="FBCAA2"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2CC" w:themeFill="accent6" w:themeFillTint="33"/>
    </w:tcPr>
    <w:tblStylePr w:type="firstRow">
      <w:rPr>
        <w:b/>
        <w:bCs/>
      </w:rPr>
      <w:tblPr/>
      <w:tcPr>
        <w:shd w:val="clear" w:color="auto" w:fill="FFE599" w:themeFill="accent6" w:themeFillTint="66"/>
      </w:tcPr>
    </w:tblStylePr>
    <w:tblStylePr w:type="lastRow">
      <w:rPr>
        <w:b/>
        <w:bCs/>
        <w:color w:val="231F20" w:themeColor="text1"/>
      </w:rPr>
      <w:tblPr/>
      <w:tcPr>
        <w:shd w:val="clear" w:color="auto" w:fill="FFE599" w:themeFill="accent6" w:themeFillTint="66"/>
      </w:tcPr>
    </w:tblStylePr>
    <w:tblStylePr w:type="firstCol">
      <w:rPr>
        <w:color w:val="FFFFFF" w:themeColor="background1"/>
      </w:rPr>
      <w:tblPr/>
      <w:tcPr>
        <w:shd w:val="clear" w:color="auto" w:fill="BF8F00" w:themeFill="accent6" w:themeFillShade="BF"/>
      </w:tcPr>
    </w:tblStylePr>
    <w:tblStylePr w:type="lastCol">
      <w:rPr>
        <w:color w:val="FFFFFF" w:themeColor="background1"/>
      </w:rPr>
      <w:tblPr/>
      <w:tcPr>
        <w:shd w:val="clear" w:color="auto" w:fill="BF8F00" w:themeFill="accent6" w:themeFillShade="BF"/>
      </w:tcPr>
    </w:tblStylePr>
    <w:tblStylePr w:type="band1Vert">
      <w:tblPr/>
      <w:tcPr>
        <w:shd w:val="clear" w:color="auto" w:fill="FFDF80" w:themeFill="accent6" w:themeFillTint="7F"/>
      </w:tcPr>
    </w:tblStylePr>
    <w:tblStylePr w:type="band1Horz">
      <w:tblPr/>
      <w:tcPr>
        <w:shd w:val="clear" w:color="auto" w:fill="FFDF8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DFF1FF" w:themeFill="accent3" w:themeFillTint="19"/>
    </w:tcPr>
    <w:tblStylePr w:type="firstRow">
      <w:rPr>
        <w:b/>
        <w:bCs/>
        <w:color w:val="FFFFFF" w:themeColor="background1"/>
      </w:rPr>
      <w:tblPr/>
      <w:tcPr>
        <w:tcBorders>
          <w:bottom w:val="single" w:sz="12" w:space="0" w:color="FFFFFF" w:themeColor="background1"/>
        </w:tcBorders>
        <w:shd w:val="clear" w:color="auto" w:fill="74B530" w:themeFill="accent4" w:themeFillShade="CC"/>
      </w:tcPr>
    </w:tblStylePr>
    <w:tblStylePr w:type="lastRow">
      <w:rPr>
        <w:b/>
        <w:bCs/>
        <w:color w:val="74B530"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0DDFF" w:themeFill="accent3" w:themeFillTint="3F"/>
      </w:tcPr>
    </w:tblStylePr>
    <w:tblStylePr w:type="band1Horz">
      <w:tblPr/>
      <w:tcPr>
        <w:shd w:val="clear" w:color="auto" w:fill="BFE4FF"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F4FAED" w:themeFill="accent4" w:themeFillTint="19"/>
    </w:tcPr>
    <w:tblStylePr w:type="firstRow">
      <w:rPr>
        <w:b/>
        <w:bCs/>
        <w:color w:val="FFFFFF" w:themeColor="background1"/>
      </w:rPr>
      <w:tblPr/>
      <w:tcPr>
        <w:tcBorders>
          <w:bottom w:val="single" w:sz="12" w:space="0" w:color="FFFFFF" w:themeColor="background1"/>
        </w:tcBorders>
        <w:shd w:val="clear" w:color="auto" w:fill="005899" w:themeFill="accent3" w:themeFillShade="CC"/>
      </w:tcPr>
    </w:tblStylePr>
    <w:tblStylePr w:type="lastRow">
      <w:rPr>
        <w:b/>
        <w:bCs/>
        <w:color w:val="005899"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F3D3" w:themeFill="accent4" w:themeFillTint="3F"/>
      </w:tcPr>
    </w:tblStylePr>
    <w:tblStylePr w:type="band1Horz">
      <w:tblPr/>
      <w:tcPr>
        <w:shd w:val="clear" w:color="auto" w:fill="E9F5DB"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EF4EC" w:themeFill="accent5" w:themeFillTint="19"/>
    </w:tcPr>
    <w:tblStylePr w:type="firstRow">
      <w:rPr>
        <w:b/>
        <w:bCs/>
        <w:color w:val="FFFFFF" w:themeColor="background1"/>
      </w:rPr>
      <w:tblPr/>
      <w:tcPr>
        <w:tcBorders>
          <w:bottom w:val="single" w:sz="12" w:space="0" w:color="FFFFFF" w:themeColor="background1"/>
        </w:tcBorders>
        <w:shd w:val="clear" w:color="auto" w:fill="CC9900" w:themeFill="accent6" w:themeFillShade="CC"/>
      </w:tcPr>
    </w:tblStylePr>
    <w:tblStylePr w:type="lastRow">
      <w:rPr>
        <w:b/>
        <w:bCs/>
        <w:color w:val="CC9900"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5" w:themeFillTint="3F"/>
      </w:tcPr>
    </w:tblStylePr>
    <w:tblStylePr w:type="band1Horz">
      <w:tblPr/>
      <w:tcPr>
        <w:shd w:val="clear" w:color="auto" w:fill="FDE9D9"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8E6" w:themeFill="accent6" w:themeFillTint="19"/>
    </w:tcPr>
    <w:tblStylePr w:type="firstRow">
      <w:rPr>
        <w:b/>
        <w:bCs/>
        <w:color w:val="FFFFFF" w:themeColor="background1"/>
      </w:rPr>
      <w:tblPr/>
      <w:tcPr>
        <w:tcBorders>
          <w:bottom w:val="single" w:sz="12" w:space="0" w:color="FFFFFF" w:themeColor="background1"/>
        </w:tcBorders>
        <w:shd w:val="clear" w:color="auto" w:fill="F2730A" w:themeFill="accent5" w:themeFillShade="CC"/>
      </w:tcPr>
    </w:tblStylePr>
    <w:tblStylePr w:type="lastRow">
      <w:rPr>
        <w:b/>
        <w:bCs/>
        <w:color w:val="F2730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6" w:themeFillTint="3F"/>
      </w:tcPr>
    </w:tblStylePr>
    <w:tblStylePr w:type="band1Horz">
      <w:tblPr/>
      <w:tcPr>
        <w:shd w:val="clear" w:color="auto" w:fill="FFF2CC"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92D050" w:themeColor="accent4"/>
        <w:left w:val="single" w:sz="4" w:space="0" w:color="0070C0" w:themeColor="accent3"/>
        <w:bottom w:val="single" w:sz="4" w:space="0" w:color="0070C0" w:themeColor="accent3"/>
        <w:right w:val="single" w:sz="4" w:space="0" w:color="0070C0" w:themeColor="accent3"/>
        <w:insideH w:val="single" w:sz="4" w:space="0" w:color="FFFFFF" w:themeColor="background1"/>
        <w:insideV w:val="single" w:sz="4" w:space="0" w:color="FFFFFF" w:themeColor="background1"/>
      </w:tblBorders>
    </w:tblPr>
    <w:tcPr>
      <w:shd w:val="clear" w:color="auto" w:fill="DFF1FF" w:themeFill="accent3" w:themeFillTint="19"/>
    </w:tcPr>
    <w:tblStylePr w:type="firstRow">
      <w:rPr>
        <w:b/>
        <w:bCs/>
      </w:rPr>
      <w:tblPr/>
      <w:tcPr>
        <w:tcBorders>
          <w:top w:val="nil"/>
          <w:left w:val="nil"/>
          <w:bottom w:val="single" w:sz="24" w:space="0" w:color="92D05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273" w:themeFill="accent3" w:themeFillShade="99"/>
      </w:tcPr>
    </w:tblStylePr>
    <w:tblStylePr w:type="firstCol">
      <w:rPr>
        <w:color w:val="FFFFFF" w:themeColor="background1"/>
      </w:rPr>
      <w:tblPr/>
      <w:tcPr>
        <w:tcBorders>
          <w:top w:val="nil"/>
          <w:left w:val="nil"/>
          <w:bottom w:val="nil"/>
          <w:right w:val="nil"/>
          <w:insideH w:val="single" w:sz="4" w:space="0" w:color="004273" w:themeColor="accent3" w:themeShade="99"/>
          <w:insideV w:val="nil"/>
        </w:tcBorders>
        <w:shd w:val="clear" w:color="auto" w:fill="00427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4273" w:themeFill="accent3" w:themeFillShade="99"/>
      </w:tcPr>
    </w:tblStylePr>
    <w:tblStylePr w:type="band1Vert">
      <w:tblPr/>
      <w:tcPr>
        <w:shd w:val="clear" w:color="auto" w:fill="7FC9FF" w:themeFill="accent3" w:themeFillTint="66"/>
      </w:tcPr>
    </w:tblStylePr>
    <w:tblStylePr w:type="band1Horz">
      <w:tblPr/>
      <w:tcPr>
        <w:shd w:val="clear" w:color="auto" w:fill="60BCFF"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0070C0" w:themeColor="accent3"/>
        <w:left w:val="single" w:sz="4" w:space="0" w:color="92D050" w:themeColor="accent4"/>
        <w:bottom w:val="single" w:sz="4" w:space="0" w:color="92D050" w:themeColor="accent4"/>
        <w:right w:val="single" w:sz="4" w:space="0" w:color="92D050" w:themeColor="accent4"/>
        <w:insideH w:val="single" w:sz="4" w:space="0" w:color="FFFFFF" w:themeColor="background1"/>
        <w:insideV w:val="single" w:sz="4" w:space="0" w:color="FFFFFF" w:themeColor="background1"/>
      </w:tblBorders>
    </w:tblPr>
    <w:tcPr>
      <w:shd w:val="clear" w:color="auto" w:fill="F4FAED" w:themeFill="accent4" w:themeFillTint="19"/>
    </w:tcPr>
    <w:tblStylePr w:type="firstRow">
      <w:rPr>
        <w:b/>
        <w:bCs/>
      </w:rPr>
      <w:tblPr/>
      <w:tcPr>
        <w:tcBorders>
          <w:top w:val="nil"/>
          <w:left w:val="nil"/>
          <w:bottom w:val="single" w:sz="24" w:space="0" w:color="0070C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8824" w:themeFill="accent4" w:themeFillShade="99"/>
      </w:tcPr>
    </w:tblStylePr>
    <w:tblStylePr w:type="firstCol">
      <w:rPr>
        <w:color w:val="FFFFFF" w:themeColor="background1"/>
      </w:rPr>
      <w:tblPr/>
      <w:tcPr>
        <w:tcBorders>
          <w:top w:val="nil"/>
          <w:left w:val="nil"/>
          <w:bottom w:val="nil"/>
          <w:right w:val="nil"/>
          <w:insideH w:val="single" w:sz="4" w:space="0" w:color="578824" w:themeColor="accent4" w:themeShade="99"/>
          <w:insideV w:val="nil"/>
        </w:tcBorders>
        <w:shd w:val="clear" w:color="auto" w:fill="5788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78824" w:themeFill="accent4" w:themeFillShade="99"/>
      </w:tcPr>
    </w:tblStylePr>
    <w:tblStylePr w:type="band1Vert">
      <w:tblPr/>
      <w:tcPr>
        <w:shd w:val="clear" w:color="auto" w:fill="D3ECB8" w:themeFill="accent4" w:themeFillTint="66"/>
      </w:tcPr>
    </w:tblStylePr>
    <w:tblStylePr w:type="band1Horz">
      <w:tblPr/>
      <w:tcPr>
        <w:shd w:val="clear" w:color="auto" w:fill="C8E7A7"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000" w:themeColor="accent6"/>
        <w:left w:val="single" w:sz="4" w:space="0" w:color="F79646" w:themeColor="accent5"/>
        <w:bottom w:val="single" w:sz="4" w:space="0" w:color="F79646" w:themeColor="accent5"/>
        <w:right w:val="single" w:sz="4" w:space="0" w:color="F79646" w:themeColor="accent5"/>
        <w:insideH w:val="single" w:sz="4" w:space="0" w:color="FFFFFF" w:themeColor="background1"/>
        <w:insideV w:val="single" w:sz="4" w:space="0" w:color="FFFFFF" w:themeColor="background1"/>
      </w:tblBorders>
    </w:tblPr>
    <w:tcPr>
      <w:shd w:val="clear" w:color="auto" w:fill="FEF4EC" w:themeFill="accent5" w:themeFillTint="19"/>
    </w:tcPr>
    <w:tblStylePr w:type="firstRow">
      <w:rPr>
        <w:b/>
        <w:bCs/>
      </w:rPr>
      <w:tblPr/>
      <w:tcPr>
        <w:tcBorders>
          <w:top w:val="nil"/>
          <w:left w:val="nil"/>
          <w:bottom w:val="single" w:sz="24" w:space="0" w:color="FFC00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5" w:themeFillShade="99"/>
      </w:tcPr>
    </w:tblStylePr>
    <w:tblStylePr w:type="firstCol">
      <w:rPr>
        <w:color w:val="FFFFFF" w:themeColor="background1"/>
      </w:rPr>
      <w:tblPr/>
      <w:tcPr>
        <w:tcBorders>
          <w:top w:val="nil"/>
          <w:left w:val="nil"/>
          <w:bottom w:val="nil"/>
          <w:right w:val="nil"/>
          <w:insideH w:val="single" w:sz="4" w:space="0" w:color="B65608" w:themeColor="accent5" w:themeShade="99"/>
          <w:insideV w:val="nil"/>
        </w:tcBorders>
        <w:shd w:val="clear" w:color="auto" w:fill="B6560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5" w:themeFillShade="99"/>
      </w:tcPr>
    </w:tblStylePr>
    <w:tblStylePr w:type="band1Vert">
      <w:tblPr/>
      <w:tcPr>
        <w:shd w:val="clear" w:color="auto" w:fill="FBD4B4" w:themeFill="accent5" w:themeFillTint="66"/>
      </w:tcPr>
    </w:tblStylePr>
    <w:tblStylePr w:type="band1Horz">
      <w:tblPr/>
      <w:tcPr>
        <w:shd w:val="clear" w:color="auto" w:fill="FBCAA2"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F79646" w:themeColor="accent5"/>
        <w:left w:val="single" w:sz="4" w:space="0" w:color="FFC000" w:themeColor="accent6"/>
        <w:bottom w:val="single" w:sz="4" w:space="0" w:color="FFC000" w:themeColor="accent6"/>
        <w:right w:val="single" w:sz="4" w:space="0" w:color="FFC000" w:themeColor="accent6"/>
        <w:insideH w:val="single" w:sz="4" w:space="0" w:color="FFFFFF" w:themeColor="background1"/>
        <w:insideV w:val="single" w:sz="4" w:space="0" w:color="FFFFFF" w:themeColor="background1"/>
      </w:tblBorders>
    </w:tblPr>
    <w:tcPr>
      <w:shd w:val="clear" w:color="auto" w:fill="FFF8E6" w:themeFill="accent6" w:themeFillTint="19"/>
    </w:tcPr>
    <w:tblStylePr w:type="firstRow">
      <w:rPr>
        <w:b/>
        <w:bCs/>
      </w:rPr>
      <w:tblPr/>
      <w:tcPr>
        <w:tcBorders>
          <w:top w:val="nil"/>
          <w:left w:val="nil"/>
          <w:bottom w:val="single" w:sz="24" w:space="0" w:color="F7964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6" w:themeFillShade="99"/>
      </w:tcPr>
    </w:tblStylePr>
    <w:tblStylePr w:type="firstCol">
      <w:rPr>
        <w:color w:val="FFFFFF" w:themeColor="background1"/>
      </w:rPr>
      <w:tblPr/>
      <w:tcPr>
        <w:tcBorders>
          <w:top w:val="nil"/>
          <w:left w:val="nil"/>
          <w:bottom w:val="nil"/>
          <w:right w:val="nil"/>
          <w:insideH w:val="single" w:sz="4" w:space="0" w:color="997300" w:themeColor="accent6" w:themeShade="99"/>
          <w:insideV w:val="nil"/>
        </w:tcBorders>
        <w:shd w:val="clear" w:color="auto" w:fill="9973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6" w:themeFillShade="99"/>
      </w:tcPr>
    </w:tblStylePr>
    <w:tblStylePr w:type="band1Vert">
      <w:tblPr/>
      <w:tcPr>
        <w:shd w:val="clear" w:color="auto" w:fill="FFE599" w:themeFill="accent6" w:themeFillTint="66"/>
      </w:tcPr>
    </w:tblStylePr>
    <w:tblStylePr w:type="band1Horz">
      <w:tblPr/>
      <w:tcPr>
        <w:shd w:val="clear" w:color="auto" w:fill="FFDF8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0070C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375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538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538F" w:themeFill="accent3" w:themeFillShade="BF"/>
      </w:tcPr>
    </w:tblStylePr>
    <w:tblStylePr w:type="band1Vert">
      <w:tblPr/>
      <w:tcPr>
        <w:tcBorders>
          <w:top w:val="nil"/>
          <w:left w:val="nil"/>
          <w:bottom w:val="nil"/>
          <w:right w:val="nil"/>
          <w:insideH w:val="nil"/>
          <w:insideV w:val="nil"/>
        </w:tcBorders>
        <w:shd w:val="clear" w:color="auto" w:fill="00538F" w:themeFill="accent3" w:themeFillShade="BF"/>
      </w:tcPr>
    </w:tblStylePr>
    <w:tblStylePr w:type="band1Horz">
      <w:tblPr/>
      <w:tcPr>
        <w:tcBorders>
          <w:top w:val="nil"/>
          <w:left w:val="nil"/>
          <w:bottom w:val="nil"/>
          <w:right w:val="nil"/>
          <w:insideH w:val="nil"/>
          <w:insideV w:val="nil"/>
        </w:tcBorders>
        <w:shd w:val="clear" w:color="auto" w:fill="00538F"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92D05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8701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DA92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DA92D" w:themeFill="accent4" w:themeFillShade="BF"/>
      </w:tcPr>
    </w:tblStylePr>
    <w:tblStylePr w:type="band1Vert">
      <w:tblPr/>
      <w:tcPr>
        <w:tcBorders>
          <w:top w:val="nil"/>
          <w:left w:val="nil"/>
          <w:bottom w:val="nil"/>
          <w:right w:val="nil"/>
          <w:insideH w:val="nil"/>
          <w:insideV w:val="nil"/>
        </w:tcBorders>
        <w:shd w:val="clear" w:color="auto" w:fill="6DA92D" w:themeFill="accent4" w:themeFillShade="BF"/>
      </w:tcPr>
    </w:tblStylePr>
    <w:tblStylePr w:type="band1Horz">
      <w:tblPr/>
      <w:tcPr>
        <w:tcBorders>
          <w:top w:val="nil"/>
          <w:left w:val="nil"/>
          <w:bottom w:val="nil"/>
          <w:right w:val="nil"/>
          <w:insideH w:val="nil"/>
          <w:insideV w:val="nil"/>
        </w:tcBorders>
        <w:shd w:val="clear" w:color="auto" w:fill="6DA92D"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F7964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5" w:themeFillShade="BF"/>
      </w:tcPr>
    </w:tblStylePr>
    <w:tblStylePr w:type="band1Vert">
      <w:tblPr/>
      <w:tcPr>
        <w:tcBorders>
          <w:top w:val="nil"/>
          <w:left w:val="nil"/>
          <w:bottom w:val="nil"/>
          <w:right w:val="nil"/>
          <w:insideH w:val="nil"/>
          <w:insideV w:val="nil"/>
        </w:tcBorders>
        <w:shd w:val="clear" w:color="auto" w:fill="E36C0A" w:themeFill="accent5" w:themeFillShade="BF"/>
      </w:tcPr>
    </w:tblStylePr>
    <w:tblStylePr w:type="band1Horz">
      <w:tblPr/>
      <w:tcPr>
        <w:tcBorders>
          <w:top w:val="nil"/>
          <w:left w:val="nil"/>
          <w:bottom w:val="nil"/>
          <w:right w:val="nil"/>
          <w:insideH w:val="nil"/>
          <w:insideV w:val="nil"/>
        </w:tcBorders>
        <w:shd w:val="clear" w:color="auto" w:fill="E36C0A"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00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6" w:themeFillShade="BF"/>
      </w:tcPr>
    </w:tblStylePr>
    <w:tblStylePr w:type="band1Vert">
      <w:tblPr/>
      <w:tcPr>
        <w:tcBorders>
          <w:top w:val="nil"/>
          <w:left w:val="nil"/>
          <w:bottom w:val="nil"/>
          <w:right w:val="nil"/>
          <w:insideH w:val="nil"/>
          <w:insideV w:val="nil"/>
        </w:tcBorders>
        <w:shd w:val="clear" w:color="auto" w:fill="BF8F00" w:themeFill="accent6" w:themeFillShade="BF"/>
      </w:tcPr>
    </w:tblStylePr>
    <w:tblStylePr w:type="band1Horz">
      <w:tblPr/>
      <w:tcPr>
        <w:tcBorders>
          <w:top w:val="nil"/>
          <w:left w:val="nil"/>
          <w:bottom w:val="nil"/>
          <w:right w:val="nil"/>
          <w:insideH w:val="nil"/>
          <w:insideV w:val="nil"/>
        </w:tcBorders>
        <w:shd w:val="clear" w:color="auto" w:fill="BF8F00"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7FC9FF" w:themeColor="accent3" w:themeTint="66"/>
        <w:left w:val="single" w:sz="4" w:space="0" w:color="7FC9FF" w:themeColor="accent3" w:themeTint="66"/>
        <w:bottom w:val="single" w:sz="4" w:space="0" w:color="7FC9FF" w:themeColor="accent3" w:themeTint="66"/>
        <w:right w:val="single" w:sz="4" w:space="0" w:color="7FC9FF" w:themeColor="accent3" w:themeTint="66"/>
        <w:insideH w:val="single" w:sz="4" w:space="0" w:color="7FC9FF" w:themeColor="accent3" w:themeTint="66"/>
        <w:insideV w:val="single" w:sz="4" w:space="0" w:color="7FC9FF" w:themeColor="accent3" w:themeTint="66"/>
      </w:tblBorders>
    </w:tblPr>
    <w:tblStylePr w:type="firstRow">
      <w:rPr>
        <w:b/>
        <w:bCs/>
      </w:rPr>
      <w:tblPr/>
      <w:tcPr>
        <w:tcBorders>
          <w:bottom w:val="single" w:sz="12" w:space="0" w:color="40AEFF" w:themeColor="accent3" w:themeTint="99"/>
        </w:tcBorders>
      </w:tcPr>
    </w:tblStylePr>
    <w:tblStylePr w:type="lastRow">
      <w:rPr>
        <w:b/>
        <w:bCs/>
      </w:rPr>
      <w:tblPr/>
      <w:tcPr>
        <w:tcBorders>
          <w:top w:val="double" w:sz="2" w:space="0" w:color="40AE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D3ECB8" w:themeColor="accent4" w:themeTint="66"/>
        <w:left w:val="single" w:sz="4" w:space="0" w:color="D3ECB8" w:themeColor="accent4" w:themeTint="66"/>
        <w:bottom w:val="single" w:sz="4" w:space="0" w:color="D3ECB8" w:themeColor="accent4" w:themeTint="66"/>
        <w:right w:val="single" w:sz="4" w:space="0" w:color="D3ECB8" w:themeColor="accent4" w:themeTint="66"/>
        <w:insideH w:val="single" w:sz="4" w:space="0" w:color="D3ECB8" w:themeColor="accent4" w:themeTint="66"/>
        <w:insideV w:val="single" w:sz="4" w:space="0" w:color="D3ECB8" w:themeColor="accent4" w:themeTint="66"/>
      </w:tblBorders>
    </w:tblPr>
    <w:tblStylePr w:type="firstRow">
      <w:rPr>
        <w:b/>
        <w:bCs/>
      </w:rPr>
      <w:tblPr/>
      <w:tcPr>
        <w:tcBorders>
          <w:bottom w:val="single" w:sz="12" w:space="0" w:color="BDE295" w:themeColor="accent4" w:themeTint="99"/>
        </w:tcBorders>
      </w:tcPr>
    </w:tblStylePr>
    <w:tblStylePr w:type="lastRow">
      <w:rPr>
        <w:b/>
        <w:bCs/>
      </w:rPr>
      <w:tblPr/>
      <w:tcPr>
        <w:tcBorders>
          <w:top w:val="double" w:sz="2" w:space="0" w:color="BDE29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FBD4B4" w:themeColor="accent5" w:themeTint="66"/>
        <w:left w:val="single" w:sz="4" w:space="0" w:color="FBD4B4" w:themeColor="accent5" w:themeTint="66"/>
        <w:bottom w:val="single" w:sz="4" w:space="0" w:color="FBD4B4" w:themeColor="accent5" w:themeTint="66"/>
        <w:right w:val="single" w:sz="4" w:space="0" w:color="FBD4B4" w:themeColor="accent5" w:themeTint="66"/>
        <w:insideH w:val="single" w:sz="4" w:space="0" w:color="FBD4B4" w:themeColor="accent5" w:themeTint="66"/>
        <w:insideV w:val="single" w:sz="4" w:space="0" w:color="FBD4B4" w:themeColor="accent5" w:themeTint="66"/>
      </w:tblBorders>
    </w:tblPr>
    <w:tblStylePr w:type="firstRow">
      <w:rPr>
        <w:b/>
        <w:bCs/>
      </w:rPr>
      <w:tblPr/>
      <w:tcPr>
        <w:tcBorders>
          <w:bottom w:val="single" w:sz="12" w:space="0" w:color="FABF8F" w:themeColor="accent5" w:themeTint="99"/>
        </w:tcBorders>
      </w:tcPr>
    </w:tblStylePr>
    <w:tblStylePr w:type="lastRow">
      <w:rPr>
        <w:b/>
        <w:bCs/>
      </w:rPr>
      <w:tblPr/>
      <w:tcPr>
        <w:tcBorders>
          <w:top w:val="double" w:sz="2" w:space="0" w:color="FABF8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599" w:themeColor="accent6" w:themeTint="66"/>
        <w:left w:val="single" w:sz="4" w:space="0" w:color="FFE599" w:themeColor="accent6" w:themeTint="66"/>
        <w:bottom w:val="single" w:sz="4" w:space="0" w:color="FFE599" w:themeColor="accent6" w:themeTint="66"/>
        <w:right w:val="single" w:sz="4" w:space="0" w:color="FFE599" w:themeColor="accent6" w:themeTint="66"/>
        <w:insideH w:val="single" w:sz="4" w:space="0" w:color="FFE599" w:themeColor="accent6" w:themeTint="66"/>
        <w:insideV w:val="single" w:sz="4" w:space="0" w:color="FFE599" w:themeColor="accent6" w:themeTint="66"/>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2" w:space="0" w:color="FFD96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40AEFF" w:themeColor="accent3" w:themeTint="99"/>
        <w:bottom w:val="single" w:sz="2" w:space="0" w:color="40AEFF" w:themeColor="accent3" w:themeTint="99"/>
        <w:insideH w:val="single" w:sz="2" w:space="0" w:color="40AEFF" w:themeColor="accent3" w:themeTint="99"/>
        <w:insideV w:val="single" w:sz="2" w:space="0" w:color="40AEFF" w:themeColor="accent3" w:themeTint="99"/>
      </w:tblBorders>
    </w:tblPr>
    <w:tblStylePr w:type="firstRow">
      <w:rPr>
        <w:b/>
        <w:bCs/>
      </w:rPr>
      <w:tblPr/>
      <w:tcPr>
        <w:tcBorders>
          <w:top w:val="nil"/>
          <w:bottom w:val="single" w:sz="12" w:space="0" w:color="40AEFF" w:themeColor="accent3" w:themeTint="99"/>
          <w:insideH w:val="nil"/>
          <w:insideV w:val="nil"/>
        </w:tcBorders>
        <w:shd w:val="clear" w:color="auto" w:fill="FFFFFF" w:themeFill="background1"/>
      </w:tcPr>
    </w:tblStylePr>
    <w:tblStylePr w:type="lastRow">
      <w:rPr>
        <w:b/>
        <w:bCs/>
      </w:rPr>
      <w:tblPr/>
      <w:tcPr>
        <w:tcBorders>
          <w:top w:val="double" w:sz="2" w:space="0" w:color="40AE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BDE295" w:themeColor="accent4" w:themeTint="99"/>
        <w:bottom w:val="single" w:sz="2" w:space="0" w:color="BDE295" w:themeColor="accent4" w:themeTint="99"/>
        <w:insideH w:val="single" w:sz="2" w:space="0" w:color="BDE295" w:themeColor="accent4" w:themeTint="99"/>
        <w:insideV w:val="single" w:sz="2" w:space="0" w:color="BDE295" w:themeColor="accent4" w:themeTint="99"/>
      </w:tblBorders>
    </w:tblPr>
    <w:tblStylePr w:type="firstRow">
      <w:rPr>
        <w:b/>
        <w:bCs/>
      </w:rPr>
      <w:tblPr/>
      <w:tcPr>
        <w:tcBorders>
          <w:top w:val="nil"/>
          <w:bottom w:val="single" w:sz="12" w:space="0" w:color="BDE295" w:themeColor="accent4" w:themeTint="99"/>
          <w:insideH w:val="nil"/>
          <w:insideV w:val="nil"/>
        </w:tcBorders>
        <w:shd w:val="clear" w:color="auto" w:fill="FFFFFF" w:themeFill="background1"/>
      </w:tcPr>
    </w:tblStylePr>
    <w:tblStylePr w:type="lastRow">
      <w:rPr>
        <w:b/>
        <w:bCs/>
      </w:rPr>
      <w:tblPr/>
      <w:tcPr>
        <w:tcBorders>
          <w:top w:val="double" w:sz="2" w:space="0" w:color="BDE29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FABF8F" w:themeColor="accent5" w:themeTint="99"/>
        <w:bottom w:val="single" w:sz="2" w:space="0" w:color="FABF8F" w:themeColor="accent5" w:themeTint="99"/>
        <w:insideH w:val="single" w:sz="2" w:space="0" w:color="FABF8F" w:themeColor="accent5" w:themeTint="99"/>
        <w:insideV w:val="single" w:sz="2" w:space="0" w:color="FABF8F" w:themeColor="accent5" w:themeTint="99"/>
      </w:tblBorders>
    </w:tblPr>
    <w:tblStylePr w:type="firstRow">
      <w:rPr>
        <w:b/>
        <w:bCs/>
      </w:rPr>
      <w:tblPr/>
      <w:tcPr>
        <w:tcBorders>
          <w:top w:val="nil"/>
          <w:bottom w:val="single" w:sz="12" w:space="0" w:color="FABF8F" w:themeColor="accent5" w:themeTint="99"/>
          <w:insideH w:val="nil"/>
          <w:insideV w:val="nil"/>
        </w:tcBorders>
        <w:shd w:val="clear" w:color="auto" w:fill="FFFFFF" w:themeFill="background1"/>
      </w:tcPr>
    </w:tblStylePr>
    <w:tblStylePr w:type="lastRow">
      <w:rPr>
        <w:b/>
        <w:bCs/>
      </w:rPr>
      <w:tblPr/>
      <w:tcPr>
        <w:tcBorders>
          <w:top w:val="double" w:sz="2" w:space="0" w:color="FABF8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D966" w:themeColor="accent6" w:themeTint="99"/>
        <w:bottom w:val="single" w:sz="2" w:space="0" w:color="FFD966" w:themeColor="accent6" w:themeTint="99"/>
        <w:insideH w:val="single" w:sz="2" w:space="0" w:color="FFD966" w:themeColor="accent6" w:themeTint="99"/>
        <w:insideV w:val="single" w:sz="2" w:space="0" w:color="FFD966" w:themeColor="accent6" w:themeTint="99"/>
      </w:tblBorders>
    </w:tblPr>
    <w:tblStylePr w:type="firstRow">
      <w:rPr>
        <w:b/>
        <w:bCs/>
      </w:rPr>
      <w:tblPr/>
      <w:tcPr>
        <w:tcBorders>
          <w:top w:val="nil"/>
          <w:bottom w:val="single" w:sz="12" w:space="0" w:color="FFD966" w:themeColor="accent6" w:themeTint="99"/>
          <w:insideH w:val="nil"/>
          <w:insideV w:val="nil"/>
        </w:tcBorders>
        <w:shd w:val="clear" w:color="auto" w:fill="FFFFFF" w:themeFill="background1"/>
      </w:tcPr>
    </w:tblStylePr>
    <w:tblStylePr w:type="lastRow">
      <w:rPr>
        <w:b/>
        <w:bCs/>
      </w:rPr>
      <w:tblPr/>
      <w:tcPr>
        <w:tcBorders>
          <w:top w:val="double" w:sz="2" w:space="0" w:color="FFD9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bottom w:val="single" w:sz="4" w:space="0" w:color="40AEFF" w:themeColor="accent3" w:themeTint="99"/>
        </w:tcBorders>
      </w:tcPr>
    </w:tblStylePr>
    <w:tblStylePr w:type="nwCell">
      <w:tblPr/>
      <w:tcPr>
        <w:tcBorders>
          <w:bottom w:val="single" w:sz="4" w:space="0" w:color="40AEFF" w:themeColor="accent3" w:themeTint="99"/>
        </w:tcBorders>
      </w:tcPr>
    </w:tblStylePr>
    <w:tblStylePr w:type="seCell">
      <w:tblPr/>
      <w:tcPr>
        <w:tcBorders>
          <w:top w:val="single" w:sz="4" w:space="0" w:color="40AEFF" w:themeColor="accent3" w:themeTint="99"/>
        </w:tcBorders>
      </w:tcPr>
    </w:tblStylePr>
    <w:tblStylePr w:type="swCell">
      <w:tblPr/>
      <w:tcPr>
        <w:tcBorders>
          <w:top w:val="single" w:sz="4" w:space="0" w:color="40AEFF"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bottom w:val="single" w:sz="4" w:space="0" w:color="BDE295" w:themeColor="accent4" w:themeTint="99"/>
        </w:tcBorders>
      </w:tcPr>
    </w:tblStylePr>
    <w:tblStylePr w:type="nwCell">
      <w:tblPr/>
      <w:tcPr>
        <w:tcBorders>
          <w:bottom w:val="single" w:sz="4" w:space="0" w:color="BDE295" w:themeColor="accent4" w:themeTint="99"/>
        </w:tcBorders>
      </w:tcPr>
    </w:tblStylePr>
    <w:tblStylePr w:type="seCell">
      <w:tblPr/>
      <w:tcPr>
        <w:tcBorders>
          <w:top w:val="single" w:sz="4" w:space="0" w:color="BDE295" w:themeColor="accent4" w:themeTint="99"/>
        </w:tcBorders>
      </w:tcPr>
    </w:tblStylePr>
    <w:tblStylePr w:type="swCell">
      <w:tblPr/>
      <w:tcPr>
        <w:tcBorders>
          <w:top w:val="single" w:sz="4" w:space="0" w:color="BDE295"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bottom w:val="single" w:sz="4" w:space="0" w:color="FABF8F" w:themeColor="accent5" w:themeTint="99"/>
        </w:tcBorders>
      </w:tcPr>
    </w:tblStylePr>
    <w:tblStylePr w:type="nwCell">
      <w:tblPr/>
      <w:tcPr>
        <w:tcBorders>
          <w:bottom w:val="single" w:sz="4" w:space="0" w:color="FABF8F" w:themeColor="accent5" w:themeTint="99"/>
        </w:tcBorders>
      </w:tcPr>
    </w:tblStylePr>
    <w:tblStylePr w:type="seCell">
      <w:tblPr/>
      <w:tcPr>
        <w:tcBorders>
          <w:top w:val="single" w:sz="4" w:space="0" w:color="FABF8F" w:themeColor="accent5" w:themeTint="99"/>
        </w:tcBorders>
      </w:tcPr>
    </w:tblStylePr>
    <w:tblStylePr w:type="swCell">
      <w:tblPr/>
      <w:tcPr>
        <w:tcBorders>
          <w:top w:val="single" w:sz="4" w:space="0" w:color="FABF8F"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color w:val="FFFFFF" w:themeColor="background1"/>
      </w:rPr>
      <w:tblPr/>
      <w:tcPr>
        <w:tcBorders>
          <w:top w:val="single" w:sz="4" w:space="0" w:color="0070C0" w:themeColor="accent3"/>
          <w:left w:val="single" w:sz="4" w:space="0" w:color="0070C0" w:themeColor="accent3"/>
          <w:bottom w:val="single" w:sz="4" w:space="0" w:color="0070C0" w:themeColor="accent3"/>
          <w:right w:val="single" w:sz="4" w:space="0" w:color="0070C0" w:themeColor="accent3"/>
          <w:insideH w:val="nil"/>
          <w:insideV w:val="nil"/>
        </w:tcBorders>
        <w:shd w:val="clear" w:color="auto" w:fill="0070C0" w:themeFill="accent3"/>
      </w:tcPr>
    </w:tblStylePr>
    <w:tblStylePr w:type="lastRow">
      <w:rPr>
        <w:b/>
        <w:bCs/>
      </w:rPr>
      <w:tblPr/>
      <w:tcPr>
        <w:tcBorders>
          <w:top w:val="double" w:sz="4" w:space="0" w:color="0070C0" w:themeColor="accent3"/>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color w:val="FFFFFF" w:themeColor="background1"/>
      </w:rPr>
      <w:tblPr/>
      <w:tcPr>
        <w:tcBorders>
          <w:top w:val="single" w:sz="4" w:space="0" w:color="92D050" w:themeColor="accent4"/>
          <w:left w:val="single" w:sz="4" w:space="0" w:color="92D050" w:themeColor="accent4"/>
          <w:bottom w:val="single" w:sz="4" w:space="0" w:color="92D050" w:themeColor="accent4"/>
          <w:right w:val="single" w:sz="4" w:space="0" w:color="92D050" w:themeColor="accent4"/>
          <w:insideH w:val="nil"/>
          <w:insideV w:val="nil"/>
        </w:tcBorders>
        <w:shd w:val="clear" w:color="auto" w:fill="92D050" w:themeFill="accent4"/>
      </w:tcPr>
    </w:tblStylePr>
    <w:tblStylePr w:type="lastRow">
      <w:rPr>
        <w:b/>
        <w:bCs/>
      </w:rPr>
      <w:tblPr/>
      <w:tcPr>
        <w:tcBorders>
          <w:top w:val="double" w:sz="4" w:space="0" w:color="92D050" w:themeColor="accent4"/>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insideV w:val="nil"/>
        </w:tcBorders>
        <w:shd w:val="clear" w:color="auto" w:fill="F79646" w:themeFill="accent5"/>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insideV w:val="nil"/>
        </w:tcBorders>
        <w:shd w:val="clear" w:color="auto" w:fill="FFC000" w:themeFill="accent6"/>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FE4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0C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0C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0C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0C0" w:themeFill="accent3"/>
      </w:tcPr>
    </w:tblStylePr>
    <w:tblStylePr w:type="band1Vert">
      <w:tblPr/>
      <w:tcPr>
        <w:shd w:val="clear" w:color="auto" w:fill="7FC9FF" w:themeFill="accent3" w:themeFillTint="66"/>
      </w:tcPr>
    </w:tblStylePr>
    <w:tblStylePr w:type="band1Horz">
      <w:tblPr/>
      <w:tcPr>
        <w:shd w:val="clear" w:color="auto" w:fill="7FC9FF"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5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2D05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2D05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2D05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2D050" w:themeFill="accent4"/>
      </w:tcPr>
    </w:tblStylePr>
    <w:tblStylePr w:type="band1Vert">
      <w:tblPr/>
      <w:tcPr>
        <w:shd w:val="clear" w:color="auto" w:fill="D3ECB8" w:themeFill="accent4" w:themeFillTint="66"/>
      </w:tcPr>
    </w:tblStylePr>
    <w:tblStylePr w:type="band1Horz">
      <w:tblPr/>
      <w:tcPr>
        <w:shd w:val="clear" w:color="auto" w:fill="D3ECB8"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5"/>
      </w:tcPr>
    </w:tblStylePr>
    <w:tblStylePr w:type="band1Vert">
      <w:tblPr/>
      <w:tcPr>
        <w:shd w:val="clear" w:color="auto" w:fill="FBD4B4" w:themeFill="accent5" w:themeFillTint="66"/>
      </w:tcPr>
    </w:tblStylePr>
    <w:tblStylePr w:type="band1Horz">
      <w:tblPr/>
      <w:tcPr>
        <w:shd w:val="clear" w:color="auto" w:fill="FBD4B4"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6"/>
      </w:tcPr>
    </w:tblStylePr>
    <w:tblStylePr w:type="band1Vert">
      <w:tblPr/>
      <w:tcPr>
        <w:shd w:val="clear" w:color="auto" w:fill="FFE599" w:themeFill="accent6" w:themeFillTint="66"/>
      </w:tcPr>
    </w:tblStylePr>
    <w:tblStylePr w:type="band1Horz">
      <w:tblPr/>
      <w:tcPr>
        <w:shd w:val="clear" w:color="auto" w:fill="FFE599"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00538F" w:themeColor="accent3" w:themeShade="BF"/>
    </w:r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bottom w:val="single" w:sz="12" w:space="0" w:color="40AEFF" w:themeColor="accent3" w:themeTint="99"/>
        </w:tcBorders>
      </w:tcPr>
    </w:tblStylePr>
    <w:tblStylePr w:type="lastRow">
      <w:rPr>
        <w:b/>
        <w:bCs/>
      </w:rPr>
      <w:tblPr/>
      <w:tcPr>
        <w:tcBorders>
          <w:top w:val="doub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6DA92D" w:themeColor="accent4" w:themeShade="BF"/>
    </w:r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bottom w:val="single" w:sz="12" w:space="0" w:color="BDE295" w:themeColor="accent4" w:themeTint="99"/>
        </w:tcBorders>
      </w:tcPr>
    </w:tblStylePr>
    <w:tblStylePr w:type="lastRow">
      <w:rPr>
        <w:b/>
        <w:bCs/>
      </w:rPr>
      <w:tblPr/>
      <w:tcPr>
        <w:tcBorders>
          <w:top w:val="doub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E36C0A" w:themeColor="accent5" w:themeShade="BF"/>
    </w:r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bottom w:val="single" w:sz="12" w:space="0" w:color="FABF8F" w:themeColor="accent5" w:themeTint="99"/>
        </w:tcBorders>
      </w:tcPr>
    </w:tblStylePr>
    <w:tblStylePr w:type="lastRow">
      <w:rPr>
        <w:b/>
        <w:bCs/>
      </w:rPr>
      <w:tblPr/>
      <w:tcPr>
        <w:tcBorders>
          <w:top w:val="doub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00538F" w:themeColor="accent3" w:themeShade="BF"/>
    </w:r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bottom w:val="single" w:sz="4" w:space="0" w:color="40AEFF" w:themeColor="accent3" w:themeTint="99"/>
        </w:tcBorders>
      </w:tcPr>
    </w:tblStylePr>
    <w:tblStylePr w:type="nwCell">
      <w:tblPr/>
      <w:tcPr>
        <w:tcBorders>
          <w:bottom w:val="single" w:sz="4" w:space="0" w:color="40AEFF" w:themeColor="accent3" w:themeTint="99"/>
        </w:tcBorders>
      </w:tcPr>
    </w:tblStylePr>
    <w:tblStylePr w:type="seCell">
      <w:tblPr/>
      <w:tcPr>
        <w:tcBorders>
          <w:top w:val="single" w:sz="4" w:space="0" w:color="40AEFF" w:themeColor="accent3" w:themeTint="99"/>
        </w:tcBorders>
      </w:tcPr>
    </w:tblStylePr>
    <w:tblStylePr w:type="swCell">
      <w:tblPr/>
      <w:tcPr>
        <w:tcBorders>
          <w:top w:val="single" w:sz="4" w:space="0" w:color="40AEFF"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6DA92D" w:themeColor="accent4" w:themeShade="BF"/>
    </w:r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bottom w:val="single" w:sz="4" w:space="0" w:color="BDE295" w:themeColor="accent4" w:themeTint="99"/>
        </w:tcBorders>
      </w:tcPr>
    </w:tblStylePr>
    <w:tblStylePr w:type="nwCell">
      <w:tblPr/>
      <w:tcPr>
        <w:tcBorders>
          <w:bottom w:val="single" w:sz="4" w:space="0" w:color="BDE295" w:themeColor="accent4" w:themeTint="99"/>
        </w:tcBorders>
      </w:tcPr>
    </w:tblStylePr>
    <w:tblStylePr w:type="seCell">
      <w:tblPr/>
      <w:tcPr>
        <w:tcBorders>
          <w:top w:val="single" w:sz="4" w:space="0" w:color="BDE295" w:themeColor="accent4" w:themeTint="99"/>
        </w:tcBorders>
      </w:tcPr>
    </w:tblStylePr>
    <w:tblStylePr w:type="swCell">
      <w:tblPr/>
      <w:tcPr>
        <w:tcBorders>
          <w:top w:val="single" w:sz="4" w:space="0" w:color="BDE295"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E36C0A" w:themeColor="accent5" w:themeShade="BF"/>
    </w:r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bottom w:val="single" w:sz="4" w:space="0" w:color="FABF8F" w:themeColor="accent5" w:themeTint="99"/>
        </w:tcBorders>
      </w:tcPr>
    </w:tblStylePr>
    <w:tblStylePr w:type="nwCell">
      <w:tblPr/>
      <w:tcPr>
        <w:tcBorders>
          <w:bottom w:val="single" w:sz="4" w:space="0" w:color="FABF8F" w:themeColor="accent5" w:themeTint="99"/>
        </w:tcBorders>
      </w:tcPr>
    </w:tblStylePr>
    <w:tblStylePr w:type="seCell">
      <w:tblPr/>
      <w:tcPr>
        <w:tcBorders>
          <w:top w:val="single" w:sz="4" w:space="0" w:color="FABF8F" w:themeColor="accent5" w:themeTint="99"/>
        </w:tcBorders>
      </w:tcPr>
    </w:tblStylePr>
    <w:tblStylePr w:type="swCell">
      <w:tblPr/>
      <w:tcPr>
        <w:tcBorders>
          <w:top w:val="single" w:sz="4" w:space="0" w:color="FABF8F"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insideH w:val="single" w:sz="8" w:space="0" w:color="0070C0" w:themeColor="accent3"/>
        <w:insideV w:val="single" w:sz="8" w:space="0" w:color="0070C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0C0" w:themeColor="accent3"/>
          <w:left w:val="single" w:sz="8" w:space="0" w:color="0070C0" w:themeColor="accent3"/>
          <w:bottom w:val="single" w:sz="18" w:space="0" w:color="0070C0" w:themeColor="accent3"/>
          <w:right w:val="single" w:sz="8" w:space="0" w:color="0070C0" w:themeColor="accent3"/>
          <w:insideH w:val="nil"/>
          <w:insideV w:val="single" w:sz="8" w:space="0" w:color="0070C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0C0" w:themeColor="accent3"/>
          <w:left w:val="single" w:sz="8" w:space="0" w:color="0070C0" w:themeColor="accent3"/>
          <w:bottom w:val="single" w:sz="8" w:space="0" w:color="0070C0" w:themeColor="accent3"/>
          <w:right w:val="single" w:sz="8" w:space="0" w:color="0070C0" w:themeColor="accent3"/>
          <w:insideH w:val="nil"/>
          <w:insideV w:val="single" w:sz="8" w:space="0" w:color="0070C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tblStylePr w:type="band1Vert">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shd w:val="clear" w:color="auto" w:fill="B0DDFF" w:themeFill="accent3" w:themeFillTint="3F"/>
      </w:tcPr>
    </w:tblStylePr>
    <w:tblStylePr w:type="band1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insideV w:val="single" w:sz="8" w:space="0" w:color="0070C0" w:themeColor="accent3"/>
        </w:tcBorders>
        <w:shd w:val="clear" w:color="auto" w:fill="B0DDFF" w:themeFill="accent3" w:themeFillTint="3F"/>
      </w:tcPr>
    </w:tblStylePr>
    <w:tblStylePr w:type="band2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insideV w:val="single" w:sz="8" w:space="0" w:color="0070C0"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insideH w:val="single" w:sz="8" w:space="0" w:color="92D050" w:themeColor="accent4"/>
        <w:insideV w:val="single" w:sz="8" w:space="0" w:color="92D05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2D050" w:themeColor="accent4"/>
          <w:left w:val="single" w:sz="8" w:space="0" w:color="92D050" w:themeColor="accent4"/>
          <w:bottom w:val="single" w:sz="18" w:space="0" w:color="92D050" w:themeColor="accent4"/>
          <w:right w:val="single" w:sz="8" w:space="0" w:color="92D050" w:themeColor="accent4"/>
          <w:insideH w:val="nil"/>
          <w:insideV w:val="single" w:sz="8" w:space="0" w:color="92D05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2D050" w:themeColor="accent4"/>
          <w:left w:val="single" w:sz="8" w:space="0" w:color="92D050" w:themeColor="accent4"/>
          <w:bottom w:val="single" w:sz="8" w:space="0" w:color="92D050" w:themeColor="accent4"/>
          <w:right w:val="single" w:sz="8" w:space="0" w:color="92D050" w:themeColor="accent4"/>
          <w:insideH w:val="nil"/>
          <w:insideV w:val="single" w:sz="8" w:space="0" w:color="92D05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tblStylePr w:type="band1Vert">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shd w:val="clear" w:color="auto" w:fill="E3F3D3" w:themeFill="accent4" w:themeFillTint="3F"/>
      </w:tcPr>
    </w:tblStylePr>
    <w:tblStylePr w:type="band1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insideV w:val="single" w:sz="8" w:space="0" w:color="92D050" w:themeColor="accent4"/>
        </w:tcBorders>
        <w:shd w:val="clear" w:color="auto" w:fill="E3F3D3" w:themeFill="accent4" w:themeFillTint="3F"/>
      </w:tcPr>
    </w:tblStylePr>
    <w:tblStylePr w:type="band2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insideV w:val="single" w:sz="8" w:space="0" w:color="92D050"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18" w:space="0" w:color="F79646" w:themeColor="accent5"/>
          <w:right w:val="single" w:sz="8" w:space="0" w:color="F79646" w:themeColor="accent5"/>
          <w:insideH w:val="nil"/>
          <w:insideV w:val="single" w:sz="8" w:space="0" w:color="F7964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insideH w:val="nil"/>
          <w:insideV w:val="single" w:sz="8" w:space="0" w:color="F7964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shd w:val="clear" w:color="auto" w:fill="FDE4D0" w:themeFill="accent5" w:themeFillTint="3F"/>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shd w:val="clear" w:color="auto" w:fill="FDE4D0" w:themeFill="accent5" w:themeFillTint="3F"/>
      </w:tcPr>
    </w:tblStylePr>
    <w:tblStylePr w:type="band2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insideH w:val="single" w:sz="8" w:space="0" w:color="FFC000" w:themeColor="accent6"/>
        <w:insideV w:val="single" w:sz="8" w:space="0" w:color="FFC0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6"/>
          <w:left w:val="single" w:sz="8" w:space="0" w:color="FFC000" w:themeColor="accent6"/>
          <w:bottom w:val="single" w:sz="18" w:space="0" w:color="FFC000" w:themeColor="accent6"/>
          <w:right w:val="single" w:sz="8" w:space="0" w:color="FFC000" w:themeColor="accent6"/>
          <w:insideH w:val="nil"/>
          <w:insideV w:val="single" w:sz="8" w:space="0" w:color="FFC0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6"/>
          <w:left w:val="single" w:sz="8" w:space="0" w:color="FFC000" w:themeColor="accent6"/>
          <w:bottom w:val="single" w:sz="8" w:space="0" w:color="FFC000" w:themeColor="accent6"/>
          <w:right w:val="single" w:sz="8" w:space="0" w:color="FFC000" w:themeColor="accent6"/>
          <w:insideH w:val="nil"/>
          <w:insideV w:val="single" w:sz="8" w:space="0" w:color="FFC0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tblStylePr w:type="band1Vert">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shd w:val="clear" w:color="auto" w:fill="FFEFC0" w:themeFill="accent6" w:themeFillTint="3F"/>
      </w:tcPr>
    </w:tblStylePr>
    <w:tblStylePr w:type="band1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insideV w:val="single" w:sz="8" w:space="0" w:color="FFC000" w:themeColor="accent6"/>
        </w:tcBorders>
        <w:shd w:val="clear" w:color="auto" w:fill="FFEFC0" w:themeFill="accent6" w:themeFillTint="3F"/>
      </w:tcPr>
    </w:tblStylePr>
    <w:tblStylePr w:type="band2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insideV w:val="single" w:sz="8" w:space="0" w:color="FFC000"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tblBorders>
    </w:tblPr>
    <w:tblStylePr w:type="firstRow">
      <w:pPr>
        <w:spacing w:before="0" w:after="0" w:line="240" w:lineRule="auto"/>
      </w:pPr>
      <w:rPr>
        <w:b/>
        <w:bCs/>
        <w:color w:val="FFFFFF" w:themeColor="background1"/>
      </w:rPr>
      <w:tblPr/>
      <w:tcPr>
        <w:shd w:val="clear" w:color="auto" w:fill="0070C0" w:themeFill="accent3"/>
      </w:tcPr>
    </w:tblStylePr>
    <w:tblStylePr w:type="lastRow">
      <w:pPr>
        <w:spacing w:before="0" w:after="0" w:line="240" w:lineRule="auto"/>
      </w:pPr>
      <w:rPr>
        <w:b/>
        <w:bCs/>
      </w:rPr>
      <w:tblPr/>
      <w:tcPr>
        <w:tcBorders>
          <w:top w:val="double" w:sz="6" w:space="0" w:color="0070C0" w:themeColor="accent3"/>
          <w:left w:val="single" w:sz="8" w:space="0" w:color="0070C0" w:themeColor="accent3"/>
          <w:bottom w:val="single" w:sz="8" w:space="0" w:color="0070C0" w:themeColor="accent3"/>
          <w:right w:val="single" w:sz="8" w:space="0" w:color="0070C0" w:themeColor="accent3"/>
        </w:tcBorders>
      </w:tcPr>
    </w:tblStylePr>
    <w:tblStylePr w:type="firstCol">
      <w:rPr>
        <w:b/>
        <w:bCs/>
      </w:rPr>
    </w:tblStylePr>
    <w:tblStylePr w:type="lastCol">
      <w:rPr>
        <w:b/>
        <w:bCs/>
      </w:rPr>
    </w:tblStylePr>
    <w:tblStylePr w:type="band1Vert">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tblStylePr w:type="band1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tblBorders>
    </w:tblPr>
    <w:tblStylePr w:type="firstRow">
      <w:pPr>
        <w:spacing w:before="0" w:after="0" w:line="240" w:lineRule="auto"/>
      </w:pPr>
      <w:rPr>
        <w:b/>
        <w:bCs/>
        <w:color w:val="FFFFFF" w:themeColor="background1"/>
      </w:rPr>
      <w:tblPr/>
      <w:tcPr>
        <w:shd w:val="clear" w:color="auto" w:fill="92D050" w:themeFill="accent4"/>
      </w:tcPr>
    </w:tblStylePr>
    <w:tblStylePr w:type="lastRow">
      <w:pPr>
        <w:spacing w:before="0" w:after="0" w:line="240" w:lineRule="auto"/>
      </w:pPr>
      <w:rPr>
        <w:b/>
        <w:bCs/>
      </w:rPr>
      <w:tblPr/>
      <w:tcPr>
        <w:tcBorders>
          <w:top w:val="double" w:sz="6" w:space="0" w:color="92D050" w:themeColor="accent4"/>
          <w:left w:val="single" w:sz="8" w:space="0" w:color="92D050" w:themeColor="accent4"/>
          <w:bottom w:val="single" w:sz="8" w:space="0" w:color="92D050" w:themeColor="accent4"/>
          <w:right w:val="single" w:sz="8" w:space="0" w:color="92D050" w:themeColor="accent4"/>
        </w:tcBorders>
      </w:tcPr>
    </w:tblStylePr>
    <w:tblStylePr w:type="firstCol">
      <w:rPr>
        <w:b/>
        <w:bCs/>
      </w:rPr>
    </w:tblStylePr>
    <w:tblStylePr w:type="lastCol">
      <w:rPr>
        <w:b/>
        <w:bCs/>
      </w:rPr>
    </w:tblStylePr>
    <w:tblStylePr w:type="band1Vert">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tblStylePr w:type="band1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tblBorders>
    </w:tblPr>
    <w:tblStylePr w:type="firstRow">
      <w:pPr>
        <w:spacing w:before="0" w:after="0" w:line="240" w:lineRule="auto"/>
      </w:pPr>
      <w:rPr>
        <w:b/>
        <w:bCs/>
        <w:color w:val="FFFFFF" w:themeColor="background1"/>
      </w:rPr>
      <w:tblPr/>
      <w:tcPr>
        <w:shd w:val="clear" w:color="auto" w:fill="F79646" w:themeFill="accent5"/>
      </w:tcPr>
    </w:tblStylePr>
    <w:tblStylePr w:type="lastRow">
      <w:pPr>
        <w:spacing w:before="0" w:after="0" w:line="240" w:lineRule="auto"/>
      </w:pPr>
      <w:rPr>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tcBorders>
      </w:tcPr>
    </w:tblStylePr>
    <w:tblStylePr w:type="firstCol">
      <w:rPr>
        <w:b/>
        <w:bCs/>
      </w:rPr>
    </w:tblStylePr>
    <w:tblStylePr w:type="lastCol">
      <w:rPr>
        <w:b/>
        <w:bCs/>
      </w:r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tblBorders>
    </w:tblPr>
    <w:tblStylePr w:type="firstRow">
      <w:pPr>
        <w:spacing w:before="0" w:after="0" w:line="240" w:lineRule="auto"/>
      </w:pPr>
      <w:rPr>
        <w:b/>
        <w:bCs/>
        <w:color w:val="FFFFFF" w:themeColor="background1"/>
      </w:rPr>
      <w:tblPr/>
      <w:tcPr>
        <w:shd w:val="clear" w:color="auto" w:fill="FFC000" w:themeFill="accent6"/>
      </w:tcPr>
    </w:tblStylePr>
    <w:tblStylePr w:type="lastRow">
      <w:pPr>
        <w:spacing w:before="0" w:after="0" w:line="240" w:lineRule="auto"/>
      </w:pPr>
      <w:rPr>
        <w:b/>
        <w:bCs/>
      </w:rPr>
      <w:tblPr/>
      <w:tcPr>
        <w:tcBorders>
          <w:top w:val="double" w:sz="6" w:space="0" w:color="FFC000" w:themeColor="accent6"/>
          <w:left w:val="single" w:sz="8" w:space="0" w:color="FFC000" w:themeColor="accent6"/>
          <w:bottom w:val="single" w:sz="8" w:space="0" w:color="FFC000" w:themeColor="accent6"/>
          <w:right w:val="single" w:sz="8" w:space="0" w:color="FFC000" w:themeColor="accent6"/>
        </w:tcBorders>
      </w:tcPr>
    </w:tblStylePr>
    <w:tblStylePr w:type="firstCol">
      <w:rPr>
        <w:b/>
        <w:bCs/>
      </w:rPr>
    </w:tblStylePr>
    <w:tblStylePr w:type="lastCol">
      <w:rPr>
        <w:b/>
        <w:bCs/>
      </w:rPr>
    </w:tblStylePr>
    <w:tblStylePr w:type="band1Vert">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tblStylePr w:type="band1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rsid w:val="00B60586"/>
    <w:pPr>
      <w:spacing w:line="240" w:lineRule="auto"/>
    </w:pPr>
    <w:rPr>
      <w:color w:val="00538F" w:themeColor="accent3" w:themeShade="BF"/>
    </w:rPr>
    <w:tblPr>
      <w:tblStyleRowBandSize w:val="1"/>
      <w:tblStyleColBandSize w:val="1"/>
      <w:tblBorders>
        <w:top w:val="single" w:sz="8" w:space="0" w:color="0070C0" w:themeColor="accent3"/>
        <w:bottom w:val="single" w:sz="8" w:space="0" w:color="0070C0" w:themeColor="accent3"/>
      </w:tblBorders>
    </w:tblPr>
    <w:tblStylePr w:type="firstRow">
      <w:pPr>
        <w:spacing w:before="0" w:after="0" w:line="240" w:lineRule="auto"/>
      </w:pPr>
      <w:rPr>
        <w:b/>
        <w:bCs/>
      </w:rPr>
      <w:tblPr/>
      <w:tcPr>
        <w:tcBorders>
          <w:top w:val="single" w:sz="8" w:space="0" w:color="0070C0" w:themeColor="accent3"/>
          <w:left w:val="nil"/>
          <w:bottom w:val="single" w:sz="8" w:space="0" w:color="0070C0" w:themeColor="accent3"/>
          <w:right w:val="nil"/>
          <w:insideH w:val="nil"/>
          <w:insideV w:val="nil"/>
        </w:tcBorders>
      </w:tcPr>
    </w:tblStylePr>
    <w:tblStylePr w:type="lastRow">
      <w:pPr>
        <w:spacing w:before="0" w:after="0" w:line="240" w:lineRule="auto"/>
      </w:pPr>
      <w:rPr>
        <w:b/>
        <w:bCs/>
      </w:rPr>
      <w:tblPr/>
      <w:tcPr>
        <w:tcBorders>
          <w:top w:val="single" w:sz="8" w:space="0" w:color="0070C0" w:themeColor="accent3"/>
          <w:left w:val="nil"/>
          <w:bottom w:val="single" w:sz="8" w:space="0" w:color="0070C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0DDFF" w:themeFill="accent3" w:themeFillTint="3F"/>
      </w:tcPr>
    </w:tblStylePr>
    <w:tblStylePr w:type="band1Horz">
      <w:tblPr/>
      <w:tcPr>
        <w:tcBorders>
          <w:left w:val="nil"/>
          <w:right w:val="nil"/>
          <w:insideH w:val="nil"/>
          <w:insideV w:val="nil"/>
        </w:tcBorders>
        <w:shd w:val="clear" w:color="auto" w:fill="B0DDFF" w:themeFill="accent3" w:themeFillTint="3F"/>
      </w:tcPr>
    </w:tblStylePr>
  </w:style>
  <w:style w:type="table" w:styleId="LightShading-Accent4">
    <w:name w:val="Light Shading Accent 4"/>
    <w:basedOn w:val="TableNormal"/>
    <w:uiPriority w:val="60"/>
    <w:semiHidden/>
    <w:rsid w:val="00B60586"/>
    <w:pPr>
      <w:spacing w:line="240" w:lineRule="auto"/>
    </w:pPr>
    <w:rPr>
      <w:color w:val="6DA92D" w:themeColor="accent4" w:themeShade="BF"/>
    </w:rPr>
    <w:tblPr>
      <w:tblStyleRowBandSize w:val="1"/>
      <w:tblStyleColBandSize w:val="1"/>
      <w:tblBorders>
        <w:top w:val="single" w:sz="8" w:space="0" w:color="92D050" w:themeColor="accent4"/>
        <w:bottom w:val="single" w:sz="8" w:space="0" w:color="92D050" w:themeColor="accent4"/>
      </w:tblBorders>
    </w:tblPr>
    <w:tblStylePr w:type="firstRow">
      <w:pPr>
        <w:spacing w:before="0" w:after="0" w:line="240" w:lineRule="auto"/>
      </w:pPr>
      <w:rPr>
        <w:b/>
        <w:bCs/>
      </w:rPr>
      <w:tblPr/>
      <w:tcPr>
        <w:tcBorders>
          <w:top w:val="single" w:sz="8" w:space="0" w:color="92D050" w:themeColor="accent4"/>
          <w:left w:val="nil"/>
          <w:bottom w:val="single" w:sz="8" w:space="0" w:color="92D050" w:themeColor="accent4"/>
          <w:right w:val="nil"/>
          <w:insideH w:val="nil"/>
          <w:insideV w:val="nil"/>
        </w:tcBorders>
      </w:tcPr>
    </w:tblStylePr>
    <w:tblStylePr w:type="lastRow">
      <w:pPr>
        <w:spacing w:before="0" w:after="0" w:line="240" w:lineRule="auto"/>
      </w:pPr>
      <w:rPr>
        <w:b/>
        <w:bCs/>
      </w:rPr>
      <w:tblPr/>
      <w:tcPr>
        <w:tcBorders>
          <w:top w:val="single" w:sz="8" w:space="0" w:color="92D050" w:themeColor="accent4"/>
          <w:left w:val="nil"/>
          <w:bottom w:val="single" w:sz="8" w:space="0" w:color="92D05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F3D3" w:themeFill="accent4" w:themeFillTint="3F"/>
      </w:tcPr>
    </w:tblStylePr>
    <w:tblStylePr w:type="band1Horz">
      <w:tblPr/>
      <w:tcPr>
        <w:tcBorders>
          <w:left w:val="nil"/>
          <w:right w:val="nil"/>
          <w:insideH w:val="nil"/>
          <w:insideV w:val="nil"/>
        </w:tcBorders>
        <w:shd w:val="clear" w:color="auto" w:fill="E3F3D3" w:themeFill="accent4" w:themeFillTint="3F"/>
      </w:tcPr>
    </w:tblStylePr>
  </w:style>
  <w:style w:type="table" w:styleId="LightShading-Accent5">
    <w:name w:val="Light Shading Accent 5"/>
    <w:basedOn w:val="TableNormal"/>
    <w:uiPriority w:val="60"/>
    <w:semiHidden/>
    <w:rsid w:val="00B60586"/>
    <w:pPr>
      <w:spacing w:line="240" w:lineRule="auto"/>
    </w:pPr>
    <w:rPr>
      <w:color w:val="E36C0A" w:themeColor="accent5" w:themeShade="BF"/>
    </w:rPr>
    <w:tblPr>
      <w:tblStyleRowBandSize w:val="1"/>
      <w:tblStyleColBandSize w:val="1"/>
      <w:tblBorders>
        <w:top w:val="single" w:sz="8" w:space="0" w:color="F79646" w:themeColor="accent5"/>
        <w:bottom w:val="single" w:sz="8" w:space="0" w:color="F79646" w:themeColor="accent5"/>
      </w:tblBorders>
    </w:tblPr>
    <w:tblStylePr w:type="firstRow">
      <w:pPr>
        <w:spacing w:before="0" w:after="0" w:line="240" w:lineRule="auto"/>
      </w:pPr>
      <w:rPr>
        <w:b/>
        <w:bCs/>
      </w:rPr>
      <w:tblPr/>
      <w:tcPr>
        <w:tcBorders>
          <w:top w:val="single" w:sz="8" w:space="0" w:color="F79646" w:themeColor="accent5"/>
          <w:left w:val="nil"/>
          <w:bottom w:val="single" w:sz="8" w:space="0" w:color="F79646" w:themeColor="accent5"/>
          <w:right w:val="nil"/>
          <w:insideH w:val="nil"/>
          <w:insideV w:val="nil"/>
        </w:tcBorders>
      </w:tcPr>
    </w:tblStylePr>
    <w:tblStylePr w:type="lastRow">
      <w:pPr>
        <w:spacing w:before="0" w:after="0" w:line="240" w:lineRule="auto"/>
      </w:pPr>
      <w:rPr>
        <w:b/>
        <w:bCs/>
      </w:rPr>
      <w:tblPr/>
      <w:tcPr>
        <w:tcBorders>
          <w:top w:val="single" w:sz="8" w:space="0" w:color="F79646" w:themeColor="accent5"/>
          <w:left w:val="nil"/>
          <w:bottom w:val="single" w:sz="8" w:space="0" w:color="F7964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5" w:themeFillTint="3F"/>
      </w:tcPr>
    </w:tblStylePr>
    <w:tblStylePr w:type="band1Horz">
      <w:tblPr/>
      <w:tcPr>
        <w:tcBorders>
          <w:left w:val="nil"/>
          <w:right w:val="nil"/>
          <w:insideH w:val="nil"/>
          <w:insideV w:val="nil"/>
        </w:tcBorders>
        <w:shd w:val="clear" w:color="auto" w:fill="FDE4D0" w:themeFill="accent5" w:themeFillTint="3F"/>
      </w:tcPr>
    </w:tblStylePr>
  </w:style>
  <w:style w:type="table" w:styleId="LightShading-Accent6">
    <w:name w:val="Light Shading Accent 6"/>
    <w:basedOn w:val="TableNormal"/>
    <w:uiPriority w:val="60"/>
    <w:semiHidden/>
    <w:rsid w:val="00B60586"/>
    <w:pPr>
      <w:spacing w:line="240" w:lineRule="auto"/>
    </w:pPr>
    <w:rPr>
      <w:color w:val="BF8F00" w:themeColor="accent6" w:themeShade="BF"/>
    </w:rPr>
    <w:tblPr>
      <w:tblStyleRowBandSize w:val="1"/>
      <w:tblStyleColBandSize w:val="1"/>
      <w:tblBorders>
        <w:top w:val="single" w:sz="8" w:space="0" w:color="FFC000" w:themeColor="accent6"/>
        <w:bottom w:val="single" w:sz="8" w:space="0" w:color="FFC000" w:themeColor="accent6"/>
      </w:tblBorders>
    </w:tblPr>
    <w:tblStylePr w:type="firstRow">
      <w:pPr>
        <w:spacing w:before="0" w:after="0" w:line="240" w:lineRule="auto"/>
      </w:pPr>
      <w:rPr>
        <w:b/>
        <w:bCs/>
      </w:rPr>
      <w:tblPr/>
      <w:tcPr>
        <w:tcBorders>
          <w:top w:val="single" w:sz="8" w:space="0" w:color="FFC000" w:themeColor="accent6"/>
          <w:left w:val="nil"/>
          <w:bottom w:val="single" w:sz="8" w:space="0" w:color="FFC000" w:themeColor="accent6"/>
          <w:right w:val="nil"/>
          <w:insideH w:val="nil"/>
          <w:insideV w:val="nil"/>
        </w:tcBorders>
      </w:tcPr>
    </w:tblStylePr>
    <w:tblStylePr w:type="lastRow">
      <w:pPr>
        <w:spacing w:before="0" w:after="0" w:line="240" w:lineRule="auto"/>
      </w:pPr>
      <w:rPr>
        <w:b/>
        <w:bCs/>
      </w:rPr>
      <w:tblPr/>
      <w:tcPr>
        <w:tcBorders>
          <w:top w:val="single" w:sz="8" w:space="0" w:color="FFC000" w:themeColor="accent6"/>
          <w:left w:val="nil"/>
          <w:bottom w:val="single" w:sz="8" w:space="0" w:color="FFC0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6" w:themeFillTint="3F"/>
      </w:tcPr>
    </w:tblStylePr>
    <w:tblStylePr w:type="band1Horz">
      <w:tblPr/>
      <w:tcPr>
        <w:tcBorders>
          <w:left w:val="nil"/>
          <w:right w:val="nil"/>
          <w:insideH w:val="nil"/>
          <w:insideV w:val="nil"/>
        </w:tcBorders>
        <w:shd w:val="clear" w:color="auto" w:fill="FFEFC0"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40AEFF" w:themeColor="accent3" w:themeTint="99"/>
        </w:tcBorders>
      </w:tcPr>
    </w:tblStylePr>
    <w:tblStylePr w:type="lastRow">
      <w:rPr>
        <w:b/>
        <w:bCs/>
      </w:rPr>
      <w:tblPr/>
      <w:tcPr>
        <w:tcBorders>
          <w:top w:val="sing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DE295" w:themeColor="accent4" w:themeTint="99"/>
        </w:tcBorders>
      </w:tcPr>
    </w:tblStylePr>
    <w:tblStylePr w:type="lastRow">
      <w:rPr>
        <w:b/>
        <w:bCs/>
      </w:rPr>
      <w:tblPr/>
      <w:tcPr>
        <w:tcBorders>
          <w:top w:val="sing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ABF8F" w:themeColor="accent5" w:themeTint="99"/>
        </w:tcBorders>
      </w:tcPr>
    </w:tblStylePr>
    <w:tblStylePr w:type="lastRow">
      <w:rPr>
        <w:b/>
        <w:bCs/>
      </w:rPr>
      <w:tblPr/>
      <w:tcPr>
        <w:tcBorders>
          <w:top w:val="sing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D966" w:themeColor="accent6" w:themeTint="99"/>
        </w:tcBorders>
      </w:tcPr>
    </w:tblStylePr>
    <w:tblStylePr w:type="lastRow">
      <w:rPr>
        <w:b/>
        <w:bCs/>
      </w:rPr>
      <w:tblPr/>
      <w:tcPr>
        <w:tcBorders>
          <w:top w:val="sing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40AEFF" w:themeColor="accent3" w:themeTint="99"/>
        <w:bottom w:val="single" w:sz="4" w:space="0" w:color="40AEFF" w:themeColor="accent3" w:themeTint="99"/>
        <w:insideH w:val="single" w:sz="4" w:space="0" w:color="40AE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BDE295" w:themeColor="accent4" w:themeTint="99"/>
        <w:bottom w:val="single" w:sz="4" w:space="0" w:color="BDE295" w:themeColor="accent4" w:themeTint="99"/>
        <w:insideH w:val="single" w:sz="4" w:space="0" w:color="BDE29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FABF8F" w:themeColor="accent5" w:themeTint="99"/>
        <w:bottom w:val="single" w:sz="4" w:space="0" w:color="FABF8F" w:themeColor="accent5" w:themeTint="99"/>
        <w:insideH w:val="single" w:sz="4" w:space="0" w:color="FABF8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D966" w:themeColor="accent6" w:themeTint="99"/>
        <w:bottom w:val="single" w:sz="4" w:space="0" w:color="FFD966" w:themeColor="accent6" w:themeTint="99"/>
        <w:insideH w:val="single" w:sz="4" w:space="0" w:color="FFD96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0070C0" w:themeColor="accent3"/>
        <w:left w:val="single" w:sz="4" w:space="0" w:color="0070C0" w:themeColor="accent3"/>
        <w:bottom w:val="single" w:sz="4" w:space="0" w:color="0070C0" w:themeColor="accent3"/>
        <w:right w:val="single" w:sz="4" w:space="0" w:color="0070C0" w:themeColor="accent3"/>
      </w:tblBorders>
    </w:tblPr>
    <w:tblStylePr w:type="firstRow">
      <w:rPr>
        <w:b/>
        <w:bCs/>
        <w:color w:val="FFFFFF" w:themeColor="background1"/>
      </w:rPr>
      <w:tblPr/>
      <w:tcPr>
        <w:shd w:val="clear" w:color="auto" w:fill="0070C0" w:themeFill="accent3"/>
      </w:tcPr>
    </w:tblStylePr>
    <w:tblStylePr w:type="lastRow">
      <w:rPr>
        <w:b/>
        <w:bCs/>
      </w:rPr>
      <w:tblPr/>
      <w:tcPr>
        <w:tcBorders>
          <w:top w:val="double" w:sz="4" w:space="0" w:color="0070C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0C0" w:themeColor="accent3"/>
          <w:right w:val="single" w:sz="4" w:space="0" w:color="0070C0" w:themeColor="accent3"/>
        </w:tcBorders>
      </w:tcPr>
    </w:tblStylePr>
    <w:tblStylePr w:type="band1Horz">
      <w:tblPr/>
      <w:tcPr>
        <w:tcBorders>
          <w:top w:val="single" w:sz="4" w:space="0" w:color="0070C0" w:themeColor="accent3"/>
          <w:bottom w:val="single" w:sz="4" w:space="0" w:color="0070C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0C0" w:themeColor="accent3"/>
          <w:left w:val="nil"/>
        </w:tcBorders>
      </w:tcPr>
    </w:tblStylePr>
    <w:tblStylePr w:type="swCell">
      <w:tblPr/>
      <w:tcPr>
        <w:tcBorders>
          <w:top w:val="double" w:sz="4" w:space="0" w:color="0070C0"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92D050" w:themeColor="accent4"/>
        <w:left w:val="single" w:sz="4" w:space="0" w:color="92D050" w:themeColor="accent4"/>
        <w:bottom w:val="single" w:sz="4" w:space="0" w:color="92D050" w:themeColor="accent4"/>
        <w:right w:val="single" w:sz="4" w:space="0" w:color="92D050" w:themeColor="accent4"/>
      </w:tblBorders>
    </w:tblPr>
    <w:tblStylePr w:type="firstRow">
      <w:rPr>
        <w:b/>
        <w:bCs/>
        <w:color w:val="FFFFFF" w:themeColor="background1"/>
      </w:rPr>
      <w:tblPr/>
      <w:tcPr>
        <w:shd w:val="clear" w:color="auto" w:fill="92D050" w:themeFill="accent4"/>
      </w:tcPr>
    </w:tblStylePr>
    <w:tblStylePr w:type="lastRow">
      <w:rPr>
        <w:b/>
        <w:bCs/>
      </w:rPr>
      <w:tblPr/>
      <w:tcPr>
        <w:tcBorders>
          <w:top w:val="double" w:sz="4" w:space="0" w:color="92D05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2D050" w:themeColor="accent4"/>
          <w:right w:val="single" w:sz="4" w:space="0" w:color="92D050" w:themeColor="accent4"/>
        </w:tcBorders>
      </w:tcPr>
    </w:tblStylePr>
    <w:tblStylePr w:type="band1Horz">
      <w:tblPr/>
      <w:tcPr>
        <w:tcBorders>
          <w:top w:val="single" w:sz="4" w:space="0" w:color="92D050" w:themeColor="accent4"/>
          <w:bottom w:val="single" w:sz="4" w:space="0" w:color="92D05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2D050" w:themeColor="accent4"/>
          <w:left w:val="nil"/>
        </w:tcBorders>
      </w:tcPr>
    </w:tblStylePr>
    <w:tblStylePr w:type="swCell">
      <w:tblPr/>
      <w:tcPr>
        <w:tcBorders>
          <w:top w:val="double" w:sz="4" w:space="0" w:color="92D050"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F79646" w:themeColor="accent5"/>
        <w:left w:val="single" w:sz="4" w:space="0" w:color="F79646" w:themeColor="accent5"/>
        <w:bottom w:val="single" w:sz="4" w:space="0" w:color="F79646" w:themeColor="accent5"/>
        <w:right w:val="single" w:sz="4" w:space="0" w:color="F79646" w:themeColor="accent5"/>
      </w:tblBorders>
    </w:tblPr>
    <w:tblStylePr w:type="firstRow">
      <w:rPr>
        <w:b/>
        <w:bCs/>
        <w:color w:val="FFFFFF" w:themeColor="background1"/>
      </w:rPr>
      <w:tblPr/>
      <w:tcPr>
        <w:shd w:val="clear" w:color="auto" w:fill="F79646" w:themeFill="accent5"/>
      </w:tcPr>
    </w:tblStylePr>
    <w:tblStylePr w:type="lastRow">
      <w:rPr>
        <w:b/>
        <w:bCs/>
      </w:rPr>
      <w:tblPr/>
      <w:tcPr>
        <w:tcBorders>
          <w:top w:val="double" w:sz="4" w:space="0" w:color="F7964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5"/>
          <w:right w:val="single" w:sz="4" w:space="0" w:color="F79646" w:themeColor="accent5"/>
        </w:tcBorders>
      </w:tcPr>
    </w:tblStylePr>
    <w:tblStylePr w:type="band1Horz">
      <w:tblPr/>
      <w:tcPr>
        <w:tcBorders>
          <w:top w:val="single" w:sz="4" w:space="0" w:color="F79646" w:themeColor="accent5"/>
          <w:bottom w:val="single" w:sz="4" w:space="0" w:color="F7964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5"/>
          <w:left w:val="nil"/>
        </w:tcBorders>
      </w:tcPr>
    </w:tblStylePr>
    <w:tblStylePr w:type="swCell">
      <w:tblPr/>
      <w:tcPr>
        <w:tcBorders>
          <w:top w:val="double" w:sz="4" w:space="0" w:color="F79646"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000" w:themeColor="accent6"/>
        <w:left w:val="single" w:sz="4" w:space="0" w:color="FFC000" w:themeColor="accent6"/>
        <w:bottom w:val="single" w:sz="4" w:space="0" w:color="FFC000" w:themeColor="accent6"/>
        <w:right w:val="single" w:sz="4" w:space="0" w:color="FFC000" w:themeColor="accent6"/>
      </w:tblBorders>
    </w:tblPr>
    <w:tblStylePr w:type="firstRow">
      <w:rPr>
        <w:b/>
        <w:bCs/>
        <w:color w:val="FFFFFF" w:themeColor="background1"/>
      </w:rPr>
      <w:tblPr/>
      <w:tcPr>
        <w:shd w:val="clear" w:color="auto" w:fill="FFC000" w:themeFill="accent6"/>
      </w:tcPr>
    </w:tblStylePr>
    <w:tblStylePr w:type="lastRow">
      <w:rPr>
        <w:b/>
        <w:bCs/>
      </w:rPr>
      <w:tblPr/>
      <w:tcPr>
        <w:tcBorders>
          <w:top w:val="double" w:sz="4" w:space="0" w:color="FFC0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6"/>
          <w:right w:val="single" w:sz="4" w:space="0" w:color="FFC000" w:themeColor="accent6"/>
        </w:tcBorders>
      </w:tcPr>
    </w:tblStylePr>
    <w:tblStylePr w:type="band1Horz">
      <w:tblPr/>
      <w:tcPr>
        <w:tcBorders>
          <w:top w:val="single" w:sz="4" w:space="0" w:color="FFC000" w:themeColor="accent6"/>
          <w:bottom w:val="single" w:sz="4" w:space="0" w:color="FFC0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6"/>
          <w:left w:val="nil"/>
        </w:tcBorders>
      </w:tcPr>
    </w:tblStylePr>
    <w:tblStylePr w:type="swCell">
      <w:tblPr/>
      <w:tcPr>
        <w:tcBorders>
          <w:top w:val="double" w:sz="4" w:space="0" w:color="FFC000"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tblBorders>
    </w:tblPr>
    <w:tblStylePr w:type="firstRow">
      <w:rPr>
        <w:b/>
        <w:bCs/>
        <w:color w:val="FFFFFF" w:themeColor="background1"/>
      </w:rPr>
      <w:tblPr/>
      <w:tcPr>
        <w:tcBorders>
          <w:top w:val="single" w:sz="4" w:space="0" w:color="0070C0" w:themeColor="accent3"/>
          <w:left w:val="single" w:sz="4" w:space="0" w:color="0070C0" w:themeColor="accent3"/>
          <w:bottom w:val="single" w:sz="4" w:space="0" w:color="0070C0" w:themeColor="accent3"/>
          <w:right w:val="single" w:sz="4" w:space="0" w:color="0070C0" w:themeColor="accent3"/>
          <w:insideH w:val="nil"/>
        </w:tcBorders>
        <w:shd w:val="clear" w:color="auto" w:fill="0070C0" w:themeFill="accent3"/>
      </w:tcPr>
    </w:tblStylePr>
    <w:tblStylePr w:type="lastRow">
      <w:rPr>
        <w:b/>
        <w:bCs/>
      </w:rPr>
      <w:tblPr/>
      <w:tcPr>
        <w:tcBorders>
          <w:top w:val="doub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tblBorders>
    </w:tblPr>
    <w:tblStylePr w:type="firstRow">
      <w:rPr>
        <w:b/>
        <w:bCs/>
        <w:color w:val="FFFFFF" w:themeColor="background1"/>
      </w:rPr>
      <w:tblPr/>
      <w:tcPr>
        <w:tcBorders>
          <w:top w:val="single" w:sz="4" w:space="0" w:color="92D050" w:themeColor="accent4"/>
          <w:left w:val="single" w:sz="4" w:space="0" w:color="92D050" w:themeColor="accent4"/>
          <w:bottom w:val="single" w:sz="4" w:space="0" w:color="92D050" w:themeColor="accent4"/>
          <w:right w:val="single" w:sz="4" w:space="0" w:color="92D050" w:themeColor="accent4"/>
          <w:insideH w:val="nil"/>
        </w:tcBorders>
        <w:shd w:val="clear" w:color="auto" w:fill="92D050" w:themeFill="accent4"/>
      </w:tcPr>
    </w:tblStylePr>
    <w:tblStylePr w:type="lastRow">
      <w:rPr>
        <w:b/>
        <w:bCs/>
      </w:rPr>
      <w:tblPr/>
      <w:tcPr>
        <w:tcBorders>
          <w:top w:val="doub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tcBorders>
        <w:shd w:val="clear" w:color="auto" w:fill="F79646" w:themeFill="accent5"/>
      </w:tcPr>
    </w:tblStylePr>
    <w:tblStylePr w:type="lastRow">
      <w:rPr>
        <w:b/>
        <w:bCs/>
      </w:rPr>
      <w:tblPr/>
      <w:tcPr>
        <w:tcBorders>
          <w:top w:val="doub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tcBorders>
        <w:shd w:val="clear" w:color="auto" w:fill="FFC000" w:themeFill="accent6"/>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70C0" w:themeColor="accent3"/>
        <w:left w:val="single" w:sz="24" w:space="0" w:color="0070C0" w:themeColor="accent3"/>
        <w:bottom w:val="single" w:sz="24" w:space="0" w:color="0070C0" w:themeColor="accent3"/>
        <w:right w:val="single" w:sz="24" w:space="0" w:color="0070C0" w:themeColor="accent3"/>
      </w:tblBorders>
    </w:tblPr>
    <w:tcPr>
      <w:shd w:val="clear" w:color="auto" w:fill="0070C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92D050" w:themeColor="accent4"/>
        <w:left w:val="single" w:sz="24" w:space="0" w:color="92D050" w:themeColor="accent4"/>
        <w:bottom w:val="single" w:sz="24" w:space="0" w:color="92D050" w:themeColor="accent4"/>
        <w:right w:val="single" w:sz="24" w:space="0" w:color="92D050" w:themeColor="accent4"/>
      </w:tblBorders>
    </w:tblPr>
    <w:tcPr>
      <w:shd w:val="clear" w:color="auto" w:fill="92D05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F79646" w:themeColor="accent5"/>
        <w:left w:val="single" w:sz="24" w:space="0" w:color="F79646" w:themeColor="accent5"/>
        <w:bottom w:val="single" w:sz="24" w:space="0" w:color="F79646" w:themeColor="accent5"/>
        <w:right w:val="single" w:sz="24" w:space="0" w:color="F79646" w:themeColor="accent5"/>
      </w:tblBorders>
    </w:tblPr>
    <w:tcPr>
      <w:shd w:val="clear" w:color="auto" w:fill="F7964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000" w:themeColor="accent6"/>
        <w:left w:val="single" w:sz="24" w:space="0" w:color="FFC000" w:themeColor="accent6"/>
        <w:bottom w:val="single" w:sz="24" w:space="0" w:color="FFC000" w:themeColor="accent6"/>
        <w:right w:val="single" w:sz="24" w:space="0" w:color="FFC000" w:themeColor="accent6"/>
      </w:tblBorders>
    </w:tblPr>
    <w:tcPr>
      <w:shd w:val="clear" w:color="auto" w:fill="FFC00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00538F" w:themeColor="accent3" w:themeShade="BF"/>
    </w:rPr>
    <w:tblPr>
      <w:tblStyleRowBandSize w:val="1"/>
      <w:tblStyleColBandSize w:val="1"/>
      <w:tblBorders>
        <w:top w:val="single" w:sz="4" w:space="0" w:color="0070C0" w:themeColor="accent3"/>
        <w:bottom w:val="single" w:sz="4" w:space="0" w:color="0070C0" w:themeColor="accent3"/>
      </w:tblBorders>
    </w:tblPr>
    <w:tblStylePr w:type="firstRow">
      <w:rPr>
        <w:b/>
        <w:bCs/>
      </w:rPr>
      <w:tblPr/>
      <w:tcPr>
        <w:tcBorders>
          <w:bottom w:val="single" w:sz="4" w:space="0" w:color="0070C0" w:themeColor="accent3"/>
        </w:tcBorders>
      </w:tcPr>
    </w:tblStylePr>
    <w:tblStylePr w:type="lastRow">
      <w:rPr>
        <w:b/>
        <w:bCs/>
      </w:rPr>
      <w:tblPr/>
      <w:tcPr>
        <w:tcBorders>
          <w:top w:val="double" w:sz="4" w:space="0" w:color="0070C0" w:themeColor="accent3"/>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6DA92D" w:themeColor="accent4" w:themeShade="BF"/>
    </w:rPr>
    <w:tblPr>
      <w:tblStyleRowBandSize w:val="1"/>
      <w:tblStyleColBandSize w:val="1"/>
      <w:tblBorders>
        <w:top w:val="single" w:sz="4" w:space="0" w:color="92D050" w:themeColor="accent4"/>
        <w:bottom w:val="single" w:sz="4" w:space="0" w:color="92D050" w:themeColor="accent4"/>
      </w:tblBorders>
    </w:tblPr>
    <w:tblStylePr w:type="firstRow">
      <w:rPr>
        <w:b/>
        <w:bCs/>
      </w:rPr>
      <w:tblPr/>
      <w:tcPr>
        <w:tcBorders>
          <w:bottom w:val="single" w:sz="4" w:space="0" w:color="92D050" w:themeColor="accent4"/>
        </w:tcBorders>
      </w:tcPr>
    </w:tblStylePr>
    <w:tblStylePr w:type="lastRow">
      <w:rPr>
        <w:b/>
        <w:bCs/>
      </w:rPr>
      <w:tblPr/>
      <w:tcPr>
        <w:tcBorders>
          <w:top w:val="double" w:sz="4" w:space="0" w:color="92D050" w:themeColor="accent4"/>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E36C0A" w:themeColor="accent5" w:themeShade="BF"/>
    </w:rPr>
    <w:tblPr>
      <w:tblStyleRowBandSize w:val="1"/>
      <w:tblStyleColBandSize w:val="1"/>
      <w:tblBorders>
        <w:top w:val="single" w:sz="4" w:space="0" w:color="F79646" w:themeColor="accent5"/>
        <w:bottom w:val="single" w:sz="4" w:space="0" w:color="F79646" w:themeColor="accent5"/>
      </w:tblBorders>
    </w:tblPr>
    <w:tblStylePr w:type="firstRow">
      <w:rPr>
        <w:b/>
        <w:bCs/>
      </w:rPr>
      <w:tblPr/>
      <w:tcPr>
        <w:tcBorders>
          <w:bottom w:val="single" w:sz="4" w:space="0" w:color="F79646" w:themeColor="accent5"/>
        </w:tcBorders>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BF8F00" w:themeColor="accent6" w:themeShade="BF"/>
    </w:rPr>
    <w:tblPr>
      <w:tblStyleRowBandSize w:val="1"/>
      <w:tblStyleColBandSize w:val="1"/>
      <w:tblBorders>
        <w:top w:val="single" w:sz="4" w:space="0" w:color="FFC000" w:themeColor="accent6"/>
        <w:bottom w:val="single" w:sz="4" w:space="0" w:color="FFC000" w:themeColor="accent6"/>
      </w:tblBorders>
    </w:tblPr>
    <w:tblStylePr w:type="firstRow">
      <w:rPr>
        <w:b/>
        <w:bCs/>
      </w:rPr>
      <w:tblPr/>
      <w:tcPr>
        <w:tcBorders>
          <w:bottom w:val="single" w:sz="4" w:space="0" w:color="FFC000" w:themeColor="accent6"/>
        </w:tcBorders>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00538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0C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0C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0C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0C0" w:themeColor="accent3"/>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6DA92D"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2D05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2D05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2D05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2D050" w:themeColor="accent4"/>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E36C0A"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5"/>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BF8F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6"/>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single" w:sz="8" w:space="0" w:color="109AFF" w:themeColor="accent3" w:themeTint="BF"/>
        <w:insideV w:val="single" w:sz="8" w:space="0" w:color="109AFF" w:themeColor="accent3" w:themeTint="BF"/>
      </w:tblBorders>
    </w:tblPr>
    <w:tcPr>
      <w:shd w:val="clear" w:color="auto" w:fill="B0DDFF" w:themeFill="accent3" w:themeFillTint="3F"/>
    </w:tcPr>
    <w:tblStylePr w:type="firstRow">
      <w:rPr>
        <w:b/>
        <w:bCs/>
      </w:rPr>
    </w:tblStylePr>
    <w:tblStylePr w:type="lastRow">
      <w:rPr>
        <w:b/>
        <w:bCs/>
      </w:rPr>
      <w:tblPr/>
      <w:tcPr>
        <w:tcBorders>
          <w:top w:val="single" w:sz="18" w:space="0" w:color="109AFF" w:themeColor="accent3" w:themeTint="BF"/>
        </w:tcBorders>
      </w:tcPr>
    </w:tblStylePr>
    <w:tblStylePr w:type="firstCol">
      <w:rPr>
        <w:b/>
        <w:bCs/>
      </w:rPr>
    </w:tblStylePr>
    <w:tblStylePr w:type="lastCol">
      <w:rPr>
        <w:b/>
        <w:bCs/>
      </w:rPr>
    </w:tblStylePr>
    <w:tblStylePr w:type="band1Vert">
      <w:tblPr/>
      <w:tcPr>
        <w:shd w:val="clear" w:color="auto" w:fill="60BCFF" w:themeFill="accent3" w:themeFillTint="7F"/>
      </w:tcPr>
    </w:tblStylePr>
    <w:tblStylePr w:type="band1Horz">
      <w:tblPr/>
      <w:tcPr>
        <w:shd w:val="clear" w:color="auto" w:fill="60BCFF"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single" w:sz="8" w:space="0" w:color="ADDB7B" w:themeColor="accent4" w:themeTint="BF"/>
        <w:insideV w:val="single" w:sz="8" w:space="0" w:color="ADDB7B" w:themeColor="accent4" w:themeTint="BF"/>
      </w:tblBorders>
    </w:tblPr>
    <w:tcPr>
      <w:shd w:val="clear" w:color="auto" w:fill="E3F3D3" w:themeFill="accent4" w:themeFillTint="3F"/>
    </w:tcPr>
    <w:tblStylePr w:type="firstRow">
      <w:rPr>
        <w:b/>
        <w:bCs/>
      </w:rPr>
    </w:tblStylePr>
    <w:tblStylePr w:type="lastRow">
      <w:rPr>
        <w:b/>
        <w:bCs/>
      </w:rPr>
      <w:tblPr/>
      <w:tcPr>
        <w:tcBorders>
          <w:top w:val="single" w:sz="18" w:space="0" w:color="ADDB7B" w:themeColor="accent4" w:themeTint="BF"/>
        </w:tcBorders>
      </w:tcPr>
    </w:tblStylePr>
    <w:tblStylePr w:type="firstCol">
      <w:rPr>
        <w:b/>
        <w:bCs/>
      </w:rPr>
    </w:tblStylePr>
    <w:tblStylePr w:type="lastCol">
      <w:rPr>
        <w:b/>
        <w:bCs/>
      </w:rPr>
    </w:tblStylePr>
    <w:tblStylePr w:type="band1Vert">
      <w:tblPr/>
      <w:tcPr>
        <w:shd w:val="clear" w:color="auto" w:fill="C8E7A7" w:themeFill="accent4" w:themeFillTint="7F"/>
      </w:tcPr>
    </w:tblStylePr>
    <w:tblStylePr w:type="band1Horz">
      <w:tblPr/>
      <w:tcPr>
        <w:shd w:val="clear" w:color="auto" w:fill="C8E7A7"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insideV w:val="single" w:sz="8" w:space="0" w:color="F9B074" w:themeColor="accent5" w:themeTint="BF"/>
      </w:tblBorders>
    </w:tblPr>
    <w:tcPr>
      <w:shd w:val="clear" w:color="auto" w:fill="FDE4D0" w:themeFill="accent5" w:themeFillTint="3F"/>
    </w:tcPr>
    <w:tblStylePr w:type="firstRow">
      <w:rPr>
        <w:b/>
        <w:bCs/>
      </w:rPr>
    </w:tblStylePr>
    <w:tblStylePr w:type="lastRow">
      <w:rPr>
        <w:b/>
        <w:bCs/>
      </w:rPr>
      <w:tblPr/>
      <w:tcPr>
        <w:tcBorders>
          <w:top w:val="single" w:sz="18" w:space="0" w:color="F9B074" w:themeColor="accent5" w:themeTint="BF"/>
        </w:tcBorders>
      </w:tcPr>
    </w:tblStylePr>
    <w:tblStylePr w:type="firstCol">
      <w:rPr>
        <w:b/>
        <w:bCs/>
      </w:rPr>
    </w:tblStylePr>
    <w:tblStylePr w:type="lastCol">
      <w:rPr>
        <w:b/>
        <w:bCs/>
      </w:rPr>
    </w:tblStylePr>
    <w:tblStylePr w:type="band1Vert">
      <w:tblPr/>
      <w:tcPr>
        <w:shd w:val="clear" w:color="auto" w:fill="FBCAA2" w:themeFill="accent5" w:themeFillTint="7F"/>
      </w:tcPr>
    </w:tblStylePr>
    <w:tblStylePr w:type="band1Horz">
      <w:tblPr/>
      <w:tcPr>
        <w:shd w:val="clear" w:color="auto" w:fill="FBCAA2"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single" w:sz="8" w:space="0" w:color="FFCF40" w:themeColor="accent6" w:themeTint="BF"/>
        <w:insideV w:val="single" w:sz="8" w:space="0" w:color="FFCF40" w:themeColor="accent6" w:themeTint="BF"/>
      </w:tblBorders>
    </w:tblPr>
    <w:tcPr>
      <w:shd w:val="clear" w:color="auto" w:fill="FFEFC0" w:themeFill="accent6" w:themeFillTint="3F"/>
    </w:tcPr>
    <w:tblStylePr w:type="firstRow">
      <w:rPr>
        <w:b/>
        <w:bCs/>
      </w:rPr>
    </w:tblStylePr>
    <w:tblStylePr w:type="lastRow">
      <w:rPr>
        <w:b/>
        <w:bCs/>
      </w:rPr>
      <w:tblPr/>
      <w:tcPr>
        <w:tcBorders>
          <w:top w:val="single" w:sz="18" w:space="0" w:color="FFCF40" w:themeColor="accent6" w:themeTint="BF"/>
        </w:tcBorders>
      </w:tcPr>
    </w:tblStylePr>
    <w:tblStylePr w:type="firstCol">
      <w:rPr>
        <w:b/>
        <w:bCs/>
      </w:rPr>
    </w:tblStylePr>
    <w:tblStylePr w:type="lastCol">
      <w:rPr>
        <w:b/>
        <w:bCs/>
      </w:rPr>
    </w:tblStylePr>
    <w:tblStylePr w:type="band1Vert">
      <w:tblPr/>
      <w:tcPr>
        <w:shd w:val="clear" w:color="auto" w:fill="FFDF80" w:themeFill="accent6" w:themeFillTint="7F"/>
      </w:tcPr>
    </w:tblStylePr>
    <w:tblStylePr w:type="band1Horz">
      <w:tblPr/>
      <w:tcPr>
        <w:shd w:val="clear" w:color="auto" w:fill="FFDF8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231F20" w:themeColor="text1"/>
      </w:rPr>
      <w:tblPr/>
      <w:tcPr>
        <w:shd w:val="clear" w:color="auto" w:fill="F8EDED"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insideH w:val="single" w:sz="8" w:space="0" w:color="0070C0" w:themeColor="accent3"/>
        <w:insideV w:val="single" w:sz="8" w:space="0" w:color="0070C0" w:themeColor="accent3"/>
      </w:tblBorders>
    </w:tblPr>
    <w:tcPr>
      <w:shd w:val="clear" w:color="auto" w:fill="B0DDFF" w:themeFill="accent3" w:themeFillTint="3F"/>
    </w:tcPr>
    <w:tblStylePr w:type="firstRow">
      <w:rPr>
        <w:b/>
        <w:bCs/>
        <w:color w:val="231F20" w:themeColor="text1"/>
      </w:rPr>
      <w:tblPr/>
      <w:tcPr>
        <w:shd w:val="clear" w:color="auto" w:fill="DFF1FF"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BFE4FF" w:themeFill="accent3" w:themeFillTint="33"/>
      </w:tcPr>
    </w:tblStylePr>
    <w:tblStylePr w:type="band1Vert">
      <w:tblPr/>
      <w:tcPr>
        <w:shd w:val="clear" w:color="auto" w:fill="60BCFF" w:themeFill="accent3" w:themeFillTint="7F"/>
      </w:tcPr>
    </w:tblStylePr>
    <w:tblStylePr w:type="band1Horz">
      <w:tblPr/>
      <w:tcPr>
        <w:tcBorders>
          <w:insideH w:val="single" w:sz="6" w:space="0" w:color="0070C0" w:themeColor="accent3"/>
          <w:insideV w:val="single" w:sz="6" w:space="0" w:color="0070C0" w:themeColor="accent3"/>
        </w:tcBorders>
        <w:shd w:val="clear" w:color="auto" w:fill="60BC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insideH w:val="single" w:sz="8" w:space="0" w:color="92D050" w:themeColor="accent4"/>
        <w:insideV w:val="single" w:sz="8" w:space="0" w:color="92D050" w:themeColor="accent4"/>
      </w:tblBorders>
    </w:tblPr>
    <w:tcPr>
      <w:shd w:val="clear" w:color="auto" w:fill="E3F3D3" w:themeFill="accent4" w:themeFillTint="3F"/>
    </w:tcPr>
    <w:tblStylePr w:type="firstRow">
      <w:rPr>
        <w:b/>
        <w:bCs/>
        <w:color w:val="231F20" w:themeColor="text1"/>
      </w:rPr>
      <w:tblPr/>
      <w:tcPr>
        <w:shd w:val="clear" w:color="auto" w:fill="F4FAED"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9F5DB" w:themeFill="accent4" w:themeFillTint="33"/>
      </w:tcPr>
    </w:tblStylePr>
    <w:tblStylePr w:type="band1Vert">
      <w:tblPr/>
      <w:tcPr>
        <w:shd w:val="clear" w:color="auto" w:fill="C8E7A7" w:themeFill="accent4" w:themeFillTint="7F"/>
      </w:tcPr>
    </w:tblStylePr>
    <w:tblStylePr w:type="band1Horz">
      <w:tblPr/>
      <w:tcPr>
        <w:tcBorders>
          <w:insideH w:val="single" w:sz="6" w:space="0" w:color="92D050" w:themeColor="accent4"/>
          <w:insideV w:val="single" w:sz="6" w:space="0" w:color="92D050" w:themeColor="accent4"/>
        </w:tcBorders>
        <w:shd w:val="clear" w:color="auto" w:fill="C8E7A7"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cPr>
      <w:shd w:val="clear" w:color="auto" w:fill="FDE4D0" w:themeFill="accent5" w:themeFillTint="3F"/>
    </w:tcPr>
    <w:tblStylePr w:type="firstRow">
      <w:rPr>
        <w:b/>
        <w:bCs/>
        <w:color w:val="231F20" w:themeColor="text1"/>
      </w:rPr>
      <w:tblPr/>
      <w:tcPr>
        <w:shd w:val="clear" w:color="auto" w:fill="FEF4EC"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DE9D9" w:themeFill="accent5" w:themeFillTint="33"/>
      </w:tcPr>
    </w:tblStylePr>
    <w:tblStylePr w:type="band1Vert">
      <w:tblPr/>
      <w:tcPr>
        <w:shd w:val="clear" w:color="auto" w:fill="FBCAA2" w:themeFill="accent5" w:themeFillTint="7F"/>
      </w:tcPr>
    </w:tblStylePr>
    <w:tblStylePr w:type="band1Horz">
      <w:tblPr/>
      <w:tcPr>
        <w:tcBorders>
          <w:insideH w:val="single" w:sz="6" w:space="0" w:color="F79646" w:themeColor="accent5"/>
          <w:insideV w:val="single" w:sz="6" w:space="0" w:color="F79646" w:themeColor="accent5"/>
        </w:tcBorders>
        <w:shd w:val="clear" w:color="auto" w:fill="FBCAA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insideH w:val="single" w:sz="8" w:space="0" w:color="FFC000" w:themeColor="accent6"/>
        <w:insideV w:val="single" w:sz="8" w:space="0" w:color="FFC000" w:themeColor="accent6"/>
      </w:tblBorders>
    </w:tblPr>
    <w:tcPr>
      <w:shd w:val="clear" w:color="auto" w:fill="FFEFC0" w:themeFill="accent6" w:themeFillTint="3F"/>
    </w:tcPr>
    <w:tblStylePr w:type="firstRow">
      <w:rPr>
        <w:b/>
        <w:bCs/>
        <w:color w:val="231F20" w:themeColor="text1"/>
      </w:rPr>
      <w:tblPr/>
      <w:tcPr>
        <w:shd w:val="clear" w:color="auto" w:fill="FFF8E6"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2CC" w:themeFill="accent6" w:themeFillTint="33"/>
      </w:tcPr>
    </w:tblStylePr>
    <w:tblStylePr w:type="band1Vert">
      <w:tblPr/>
      <w:tcPr>
        <w:shd w:val="clear" w:color="auto" w:fill="FFDF80" w:themeFill="accent6" w:themeFillTint="7F"/>
      </w:tcPr>
    </w:tblStylePr>
    <w:tblStylePr w:type="band1Horz">
      <w:tblPr/>
      <w:tcPr>
        <w:tcBorders>
          <w:insideH w:val="single" w:sz="6" w:space="0" w:color="FFC000" w:themeColor="accent6"/>
          <w:insideV w:val="single" w:sz="6" w:space="0" w:color="FFC000" w:themeColor="accent6"/>
        </w:tcBorders>
        <w:shd w:val="clear" w:color="auto" w:fill="FFDF8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0DD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0C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0C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0C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0C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0BC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0BCFF"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F3D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2D05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2D05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2D05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2D05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E7A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E7A7"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003263"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0070C0" w:themeColor="accent3"/>
        <w:bottom w:val="single" w:sz="8" w:space="0" w:color="0070C0" w:themeColor="accent3"/>
      </w:tblBorders>
    </w:tblPr>
    <w:tblStylePr w:type="firstRow">
      <w:rPr>
        <w:rFonts w:asciiTheme="majorHAnsi" w:eastAsiaTheme="majorEastAsia" w:hAnsiTheme="majorHAnsi" w:cstheme="majorBidi"/>
      </w:rPr>
      <w:tblPr/>
      <w:tcPr>
        <w:tcBorders>
          <w:top w:val="nil"/>
          <w:bottom w:val="single" w:sz="8" w:space="0" w:color="0070C0" w:themeColor="accent3"/>
        </w:tcBorders>
      </w:tcPr>
    </w:tblStylePr>
    <w:tblStylePr w:type="lastRow">
      <w:rPr>
        <w:b/>
        <w:bCs/>
        <w:color w:val="003263" w:themeColor="text2"/>
      </w:rPr>
      <w:tblPr/>
      <w:tcPr>
        <w:tcBorders>
          <w:top w:val="single" w:sz="8" w:space="0" w:color="0070C0" w:themeColor="accent3"/>
          <w:bottom w:val="single" w:sz="8" w:space="0" w:color="0070C0" w:themeColor="accent3"/>
        </w:tcBorders>
      </w:tcPr>
    </w:tblStylePr>
    <w:tblStylePr w:type="firstCol">
      <w:rPr>
        <w:b/>
        <w:bCs/>
      </w:rPr>
    </w:tblStylePr>
    <w:tblStylePr w:type="lastCol">
      <w:rPr>
        <w:b/>
        <w:bCs/>
      </w:rPr>
      <w:tblPr/>
      <w:tcPr>
        <w:tcBorders>
          <w:top w:val="single" w:sz="8" w:space="0" w:color="0070C0" w:themeColor="accent3"/>
          <w:bottom w:val="single" w:sz="8" w:space="0" w:color="0070C0" w:themeColor="accent3"/>
        </w:tcBorders>
      </w:tcPr>
    </w:tblStylePr>
    <w:tblStylePr w:type="band1Vert">
      <w:tblPr/>
      <w:tcPr>
        <w:shd w:val="clear" w:color="auto" w:fill="B0DDFF" w:themeFill="accent3" w:themeFillTint="3F"/>
      </w:tcPr>
    </w:tblStylePr>
    <w:tblStylePr w:type="band1Horz">
      <w:tblPr/>
      <w:tcPr>
        <w:shd w:val="clear" w:color="auto" w:fill="B0DDFF"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92D050" w:themeColor="accent4"/>
        <w:bottom w:val="single" w:sz="8" w:space="0" w:color="92D050" w:themeColor="accent4"/>
      </w:tblBorders>
    </w:tblPr>
    <w:tblStylePr w:type="firstRow">
      <w:rPr>
        <w:rFonts w:asciiTheme="majorHAnsi" w:eastAsiaTheme="majorEastAsia" w:hAnsiTheme="majorHAnsi" w:cstheme="majorBidi"/>
      </w:rPr>
      <w:tblPr/>
      <w:tcPr>
        <w:tcBorders>
          <w:top w:val="nil"/>
          <w:bottom w:val="single" w:sz="8" w:space="0" w:color="92D050" w:themeColor="accent4"/>
        </w:tcBorders>
      </w:tcPr>
    </w:tblStylePr>
    <w:tblStylePr w:type="lastRow">
      <w:rPr>
        <w:b/>
        <w:bCs/>
        <w:color w:val="003263" w:themeColor="text2"/>
      </w:rPr>
      <w:tblPr/>
      <w:tcPr>
        <w:tcBorders>
          <w:top w:val="single" w:sz="8" w:space="0" w:color="92D050" w:themeColor="accent4"/>
          <w:bottom w:val="single" w:sz="8" w:space="0" w:color="92D050" w:themeColor="accent4"/>
        </w:tcBorders>
      </w:tcPr>
    </w:tblStylePr>
    <w:tblStylePr w:type="firstCol">
      <w:rPr>
        <w:b/>
        <w:bCs/>
      </w:rPr>
    </w:tblStylePr>
    <w:tblStylePr w:type="lastCol">
      <w:rPr>
        <w:b/>
        <w:bCs/>
      </w:rPr>
      <w:tblPr/>
      <w:tcPr>
        <w:tcBorders>
          <w:top w:val="single" w:sz="8" w:space="0" w:color="92D050" w:themeColor="accent4"/>
          <w:bottom w:val="single" w:sz="8" w:space="0" w:color="92D050" w:themeColor="accent4"/>
        </w:tcBorders>
      </w:tcPr>
    </w:tblStylePr>
    <w:tblStylePr w:type="band1Vert">
      <w:tblPr/>
      <w:tcPr>
        <w:shd w:val="clear" w:color="auto" w:fill="E3F3D3" w:themeFill="accent4" w:themeFillTint="3F"/>
      </w:tcPr>
    </w:tblStylePr>
    <w:tblStylePr w:type="band1Horz">
      <w:tblPr/>
      <w:tcPr>
        <w:shd w:val="clear" w:color="auto" w:fill="E3F3D3"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F79646" w:themeColor="accent5"/>
        <w:bottom w:val="single" w:sz="8" w:space="0" w:color="F79646" w:themeColor="accent5"/>
      </w:tblBorders>
    </w:tblPr>
    <w:tblStylePr w:type="firstRow">
      <w:rPr>
        <w:rFonts w:asciiTheme="majorHAnsi" w:eastAsiaTheme="majorEastAsia" w:hAnsiTheme="majorHAnsi" w:cstheme="majorBidi"/>
      </w:rPr>
      <w:tblPr/>
      <w:tcPr>
        <w:tcBorders>
          <w:top w:val="nil"/>
          <w:bottom w:val="single" w:sz="8" w:space="0" w:color="F79646" w:themeColor="accent5"/>
        </w:tcBorders>
      </w:tcPr>
    </w:tblStylePr>
    <w:tblStylePr w:type="lastRow">
      <w:rPr>
        <w:b/>
        <w:bCs/>
        <w:color w:val="003263" w:themeColor="text2"/>
      </w:rPr>
      <w:tblPr/>
      <w:tcPr>
        <w:tcBorders>
          <w:top w:val="single" w:sz="8" w:space="0" w:color="F79646" w:themeColor="accent5"/>
          <w:bottom w:val="single" w:sz="8" w:space="0" w:color="F79646" w:themeColor="accent5"/>
        </w:tcBorders>
      </w:tcPr>
    </w:tblStylePr>
    <w:tblStylePr w:type="firstCol">
      <w:rPr>
        <w:b/>
        <w:bCs/>
      </w:rPr>
    </w:tblStylePr>
    <w:tblStylePr w:type="lastCol">
      <w:rPr>
        <w:b/>
        <w:bCs/>
      </w:rPr>
      <w:tblPr/>
      <w:tcPr>
        <w:tcBorders>
          <w:top w:val="single" w:sz="8" w:space="0" w:color="F79646" w:themeColor="accent5"/>
          <w:bottom w:val="single" w:sz="8" w:space="0" w:color="F79646" w:themeColor="accent5"/>
        </w:tcBorders>
      </w:tcPr>
    </w:tblStylePr>
    <w:tblStylePr w:type="band1Vert">
      <w:tblPr/>
      <w:tcPr>
        <w:shd w:val="clear" w:color="auto" w:fill="FDE4D0" w:themeFill="accent5" w:themeFillTint="3F"/>
      </w:tcPr>
    </w:tblStylePr>
    <w:tblStylePr w:type="band1Horz">
      <w:tblPr/>
      <w:tcPr>
        <w:shd w:val="clear" w:color="auto" w:fill="FDE4D0"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000" w:themeColor="accent6"/>
        <w:bottom w:val="single" w:sz="8" w:space="0" w:color="FFC000" w:themeColor="accent6"/>
      </w:tblBorders>
    </w:tblPr>
    <w:tblStylePr w:type="firstRow">
      <w:rPr>
        <w:rFonts w:asciiTheme="majorHAnsi" w:eastAsiaTheme="majorEastAsia" w:hAnsiTheme="majorHAnsi" w:cstheme="majorBidi"/>
      </w:rPr>
      <w:tblPr/>
      <w:tcPr>
        <w:tcBorders>
          <w:top w:val="nil"/>
          <w:bottom w:val="single" w:sz="8" w:space="0" w:color="FFC000" w:themeColor="accent6"/>
        </w:tcBorders>
      </w:tcPr>
    </w:tblStylePr>
    <w:tblStylePr w:type="lastRow">
      <w:rPr>
        <w:b/>
        <w:bCs/>
        <w:color w:val="003263" w:themeColor="text2"/>
      </w:rPr>
      <w:tblPr/>
      <w:tcPr>
        <w:tcBorders>
          <w:top w:val="single" w:sz="8" w:space="0" w:color="FFC000" w:themeColor="accent6"/>
          <w:bottom w:val="single" w:sz="8" w:space="0" w:color="FFC000" w:themeColor="accent6"/>
        </w:tcBorders>
      </w:tcPr>
    </w:tblStylePr>
    <w:tblStylePr w:type="firstCol">
      <w:rPr>
        <w:b/>
        <w:bCs/>
      </w:rPr>
    </w:tblStylePr>
    <w:tblStylePr w:type="lastCol">
      <w:rPr>
        <w:b/>
        <w:bCs/>
      </w:rPr>
      <w:tblPr/>
      <w:tcPr>
        <w:tcBorders>
          <w:top w:val="single" w:sz="8" w:space="0" w:color="FFC000" w:themeColor="accent6"/>
          <w:bottom w:val="single" w:sz="8" w:space="0" w:color="FFC000" w:themeColor="accent6"/>
        </w:tcBorders>
      </w:tcPr>
    </w:tblStylePr>
    <w:tblStylePr w:type="band1Vert">
      <w:tblPr/>
      <w:tcPr>
        <w:shd w:val="clear" w:color="auto" w:fill="FFEFC0" w:themeFill="accent6" w:themeFillTint="3F"/>
      </w:tcPr>
    </w:tblStylePr>
    <w:tblStylePr w:type="band1Horz">
      <w:tblPr/>
      <w:tcPr>
        <w:shd w:val="clear" w:color="auto" w:fill="FFEFC0"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tblBorders>
    </w:tblPr>
    <w:tblStylePr w:type="firstRow">
      <w:rPr>
        <w:sz w:val="24"/>
        <w:szCs w:val="24"/>
      </w:rPr>
      <w:tblPr/>
      <w:tcPr>
        <w:tcBorders>
          <w:top w:val="nil"/>
          <w:left w:val="nil"/>
          <w:bottom w:val="single" w:sz="24" w:space="0" w:color="0070C0" w:themeColor="accent3"/>
          <w:right w:val="nil"/>
          <w:insideH w:val="nil"/>
          <w:insideV w:val="nil"/>
        </w:tcBorders>
        <w:shd w:val="clear" w:color="auto" w:fill="FFFFFF" w:themeFill="background1"/>
      </w:tcPr>
    </w:tblStylePr>
    <w:tblStylePr w:type="lastRow">
      <w:tblPr/>
      <w:tcPr>
        <w:tcBorders>
          <w:top w:val="single" w:sz="8" w:space="0" w:color="0070C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0C0" w:themeColor="accent3"/>
          <w:insideH w:val="nil"/>
          <w:insideV w:val="nil"/>
        </w:tcBorders>
        <w:shd w:val="clear" w:color="auto" w:fill="FFFFFF" w:themeFill="background1"/>
      </w:tcPr>
    </w:tblStylePr>
    <w:tblStylePr w:type="lastCol">
      <w:tblPr/>
      <w:tcPr>
        <w:tcBorders>
          <w:top w:val="nil"/>
          <w:left w:val="single" w:sz="8" w:space="0" w:color="0070C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0DDFF" w:themeFill="accent3" w:themeFillTint="3F"/>
      </w:tcPr>
    </w:tblStylePr>
    <w:tblStylePr w:type="band1Horz">
      <w:tblPr/>
      <w:tcPr>
        <w:tcBorders>
          <w:top w:val="nil"/>
          <w:bottom w:val="nil"/>
          <w:insideH w:val="nil"/>
          <w:insideV w:val="nil"/>
        </w:tcBorders>
        <w:shd w:val="clear" w:color="auto" w:fill="B0DD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tblBorders>
    </w:tblPr>
    <w:tblStylePr w:type="firstRow">
      <w:rPr>
        <w:sz w:val="24"/>
        <w:szCs w:val="24"/>
      </w:rPr>
      <w:tblPr/>
      <w:tcPr>
        <w:tcBorders>
          <w:top w:val="nil"/>
          <w:left w:val="nil"/>
          <w:bottom w:val="single" w:sz="24" w:space="0" w:color="92D050" w:themeColor="accent4"/>
          <w:right w:val="nil"/>
          <w:insideH w:val="nil"/>
          <w:insideV w:val="nil"/>
        </w:tcBorders>
        <w:shd w:val="clear" w:color="auto" w:fill="FFFFFF" w:themeFill="background1"/>
      </w:tcPr>
    </w:tblStylePr>
    <w:tblStylePr w:type="lastRow">
      <w:tblPr/>
      <w:tcPr>
        <w:tcBorders>
          <w:top w:val="single" w:sz="8" w:space="0" w:color="92D05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2D050" w:themeColor="accent4"/>
          <w:insideH w:val="nil"/>
          <w:insideV w:val="nil"/>
        </w:tcBorders>
        <w:shd w:val="clear" w:color="auto" w:fill="FFFFFF" w:themeFill="background1"/>
      </w:tcPr>
    </w:tblStylePr>
    <w:tblStylePr w:type="lastCol">
      <w:tblPr/>
      <w:tcPr>
        <w:tcBorders>
          <w:top w:val="nil"/>
          <w:left w:val="single" w:sz="8" w:space="0" w:color="92D05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F3D3" w:themeFill="accent4" w:themeFillTint="3F"/>
      </w:tcPr>
    </w:tblStylePr>
    <w:tblStylePr w:type="band1Horz">
      <w:tblPr/>
      <w:tcPr>
        <w:tcBorders>
          <w:top w:val="nil"/>
          <w:bottom w:val="nil"/>
          <w:insideH w:val="nil"/>
          <w:insideV w:val="nil"/>
        </w:tcBorders>
        <w:shd w:val="clear" w:color="auto" w:fill="E3F3D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tblBorders>
    </w:tblPr>
    <w:tblStylePr w:type="firstRow">
      <w:rPr>
        <w:sz w:val="24"/>
        <w:szCs w:val="24"/>
      </w:rPr>
      <w:tblPr/>
      <w:tcPr>
        <w:tcBorders>
          <w:top w:val="nil"/>
          <w:left w:val="nil"/>
          <w:bottom w:val="single" w:sz="24" w:space="0" w:color="F79646" w:themeColor="accent5"/>
          <w:right w:val="nil"/>
          <w:insideH w:val="nil"/>
          <w:insideV w:val="nil"/>
        </w:tcBorders>
        <w:shd w:val="clear" w:color="auto" w:fill="FFFFFF" w:themeFill="background1"/>
      </w:tcPr>
    </w:tblStylePr>
    <w:tblStylePr w:type="lastRow">
      <w:tblPr/>
      <w:tcPr>
        <w:tcBorders>
          <w:top w:val="single" w:sz="8" w:space="0" w:color="F7964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5"/>
          <w:insideH w:val="nil"/>
          <w:insideV w:val="nil"/>
        </w:tcBorders>
        <w:shd w:val="clear" w:color="auto" w:fill="FFFFFF" w:themeFill="background1"/>
      </w:tcPr>
    </w:tblStylePr>
    <w:tblStylePr w:type="lastCol">
      <w:tblPr/>
      <w:tcPr>
        <w:tcBorders>
          <w:top w:val="nil"/>
          <w:left w:val="single" w:sz="8" w:space="0" w:color="F7964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5" w:themeFillTint="3F"/>
      </w:tcPr>
    </w:tblStylePr>
    <w:tblStylePr w:type="band1Horz">
      <w:tblPr/>
      <w:tcPr>
        <w:tcBorders>
          <w:top w:val="nil"/>
          <w:bottom w:val="nil"/>
          <w:insideH w:val="nil"/>
          <w:insideV w:val="nil"/>
        </w:tcBorders>
        <w:shd w:val="clear" w:color="auto" w:fill="FDE4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tblBorders>
    </w:tblPr>
    <w:tblStylePr w:type="firstRow">
      <w:rPr>
        <w:sz w:val="24"/>
        <w:szCs w:val="24"/>
      </w:rPr>
      <w:tblPr/>
      <w:tcPr>
        <w:tcBorders>
          <w:top w:val="nil"/>
          <w:left w:val="nil"/>
          <w:bottom w:val="single" w:sz="24" w:space="0" w:color="FFC000" w:themeColor="accent6"/>
          <w:right w:val="nil"/>
          <w:insideH w:val="nil"/>
          <w:insideV w:val="nil"/>
        </w:tcBorders>
        <w:shd w:val="clear" w:color="auto" w:fill="FFFFFF" w:themeFill="background1"/>
      </w:tcPr>
    </w:tblStylePr>
    <w:tblStylePr w:type="lastRow">
      <w:tblPr/>
      <w:tcPr>
        <w:tcBorders>
          <w:top w:val="single" w:sz="8" w:space="0" w:color="FFC00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6"/>
          <w:insideH w:val="nil"/>
          <w:insideV w:val="nil"/>
        </w:tcBorders>
        <w:shd w:val="clear" w:color="auto" w:fill="FFFFFF" w:themeFill="background1"/>
      </w:tcPr>
    </w:tblStylePr>
    <w:tblStylePr w:type="lastCol">
      <w:tblPr/>
      <w:tcPr>
        <w:tcBorders>
          <w:top w:val="nil"/>
          <w:left w:val="single" w:sz="8" w:space="0" w:color="FFC00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6" w:themeFillTint="3F"/>
      </w:tcPr>
    </w:tblStylePr>
    <w:tblStylePr w:type="band1Horz">
      <w:tblPr/>
      <w:tcPr>
        <w:tcBorders>
          <w:top w:val="nil"/>
          <w:bottom w:val="nil"/>
          <w:insideH w:val="nil"/>
          <w:insideV w:val="nil"/>
        </w:tcBorders>
        <w:shd w:val="clear" w:color="auto" w:fill="FFEFC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single" w:sz="8" w:space="0" w:color="109AFF" w:themeColor="accent3" w:themeTint="BF"/>
      </w:tblBorders>
    </w:tblPr>
    <w:tblStylePr w:type="firstRow">
      <w:pPr>
        <w:spacing w:before="0" w:after="0" w:line="240" w:lineRule="auto"/>
      </w:pPr>
      <w:rPr>
        <w:b/>
        <w:bCs/>
        <w:color w:val="FFFFFF" w:themeColor="background1"/>
      </w:rPr>
      <w:tblPr/>
      <w:tcPr>
        <w:tc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nil"/>
          <w:insideV w:val="nil"/>
        </w:tcBorders>
        <w:shd w:val="clear" w:color="auto" w:fill="0070C0" w:themeFill="accent3"/>
      </w:tcPr>
    </w:tblStylePr>
    <w:tblStylePr w:type="lastRow">
      <w:pPr>
        <w:spacing w:before="0" w:after="0" w:line="240" w:lineRule="auto"/>
      </w:pPr>
      <w:rPr>
        <w:b/>
        <w:bCs/>
      </w:rPr>
      <w:tblPr/>
      <w:tcPr>
        <w:tcBorders>
          <w:top w:val="double" w:sz="6"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0DDFF" w:themeFill="accent3" w:themeFillTint="3F"/>
      </w:tcPr>
    </w:tblStylePr>
    <w:tblStylePr w:type="band1Horz">
      <w:tblPr/>
      <w:tcPr>
        <w:tcBorders>
          <w:insideH w:val="nil"/>
          <w:insideV w:val="nil"/>
        </w:tcBorders>
        <w:shd w:val="clear" w:color="auto" w:fill="B0D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single" w:sz="8" w:space="0" w:color="ADDB7B" w:themeColor="accent4" w:themeTint="BF"/>
      </w:tblBorders>
    </w:tblPr>
    <w:tblStylePr w:type="firstRow">
      <w:pPr>
        <w:spacing w:before="0" w:after="0" w:line="240" w:lineRule="auto"/>
      </w:pPr>
      <w:rPr>
        <w:b/>
        <w:bCs/>
        <w:color w:val="FFFFFF" w:themeColor="background1"/>
      </w:rPr>
      <w:tblPr/>
      <w:tcPr>
        <w:tc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nil"/>
          <w:insideV w:val="nil"/>
        </w:tcBorders>
        <w:shd w:val="clear" w:color="auto" w:fill="92D050" w:themeFill="accent4"/>
      </w:tcPr>
    </w:tblStylePr>
    <w:tblStylePr w:type="lastRow">
      <w:pPr>
        <w:spacing w:before="0" w:after="0" w:line="240" w:lineRule="auto"/>
      </w:pPr>
      <w:rPr>
        <w:b/>
        <w:bCs/>
      </w:rPr>
      <w:tblPr/>
      <w:tcPr>
        <w:tcBorders>
          <w:top w:val="double" w:sz="6"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nil"/>
          <w:insideV w:val="nil"/>
        </w:tcBorders>
      </w:tcPr>
    </w:tblStylePr>
    <w:tblStylePr w:type="firstCol">
      <w:rPr>
        <w:b/>
        <w:bCs/>
      </w:rPr>
    </w:tblStylePr>
    <w:tblStylePr w:type="lastCol">
      <w:rPr>
        <w:b/>
        <w:bCs/>
      </w:rPr>
    </w:tblStylePr>
    <w:tblStylePr w:type="band1Vert">
      <w:tblPr/>
      <w:tcPr>
        <w:shd w:val="clear" w:color="auto" w:fill="E3F3D3" w:themeFill="accent4" w:themeFillTint="3F"/>
      </w:tcPr>
    </w:tblStylePr>
    <w:tblStylePr w:type="band1Horz">
      <w:tblPr/>
      <w:tcPr>
        <w:tcBorders>
          <w:insideH w:val="nil"/>
          <w:insideV w:val="nil"/>
        </w:tcBorders>
        <w:shd w:val="clear" w:color="auto" w:fill="E3F3D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tblBorders>
    </w:tblPr>
    <w:tblStylePr w:type="firstRow">
      <w:pPr>
        <w:spacing w:before="0" w:after="0" w:line="240" w:lineRule="auto"/>
      </w:pPr>
      <w:rPr>
        <w:b/>
        <w:bCs/>
        <w:color w:val="FFFFFF" w:themeColor="background1"/>
      </w:rPr>
      <w:tblPr/>
      <w:tcPr>
        <w:tc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shd w:val="clear" w:color="auto" w:fill="F79646" w:themeFill="accent5"/>
      </w:tcPr>
    </w:tblStylePr>
    <w:tblStylePr w:type="lastRow">
      <w:pPr>
        <w:spacing w:before="0" w:after="0" w:line="240" w:lineRule="auto"/>
      </w:pPr>
      <w:rPr>
        <w:b/>
        <w:bCs/>
      </w:rPr>
      <w:tblPr/>
      <w:tcPr>
        <w:tcBorders>
          <w:top w:val="double" w:sz="6"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5" w:themeFillTint="3F"/>
      </w:tcPr>
    </w:tblStylePr>
    <w:tblStylePr w:type="band1Horz">
      <w:tblPr/>
      <w:tcPr>
        <w:tcBorders>
          <w:insideH w:val="nil"/>
          <w:insideV w:val="nil"/>
        </w:tcBorders>
        <w:shd w:val="clear" w:color="auto" w:fill="FDE4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single" w:sz="8" w:space="0" w:color="FFCF40" w:themeColor="accent6" w:themeTint="BF"/>
      </w:tblBorders>
    </w:tblPr>
    <w:tblStylePr w:type="firstRow">
      <w:pPr>
        <w:spacing w:before="0" w:after="0" w:line="240" w:lineRule="auto"/>
      </w:pPr>
      <w:rPr>
        <w:b/>
        <w:bCs/>
        <w:color w:val="FFFFFF" w:themeColor="background1"/>
      </w:rPr>
      <w:tblPr/>
      <w:tcPr>
        <w:tc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nil"/>
          <w:insideV w:val="nil"/>
        </w:tcBorders>
        <w:shd w:val="clear" w:color="auto" w:fill="FFC000" w:themeFill="accent6"/>
      </w:tcPr>
    </w:tblStylePr>
    <w:tblStylePr w:type="lastRow">
      <w:pPr>
        <w:spacing w:before="0" w:after="0" w:line="240" w:lineRule="auto"/>
      </w:pPr>
      <w:rPr>
        <w:b/>
        <w:bCs/>
      </w:rPr>
      <w:tblPr/>
      <w:tcPr>
        <w:tcBorders>
          <w:top w:val="double" w:sz="6"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6" w:themeFillTint="3F"/>
      </w:tcPr>
    </w:tblStylePr>
    <w:tblStylePr w:type="band1Horz">
      <w:tblPr/>
      <w:tcPr>
        <w:tcBorders>
          <w:insideH w:val="nil"/>
          <w:insideV w:val="nil"/>
        </w:tcBorders>
        <w:shd w:val="clear" w:color="auto" w:fill="FFEFC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0C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0C0" w:themeFill="accent3"/>
      </w:tcPr>
    </w:tblStylePr>
    <w:tblStylePr w:type="lastCol">
      <w:rPr>
        <w:b/>
        <w:bCs/>
        <w:color w:val="FFFFFF" w:themeColor="background1"/>
      </w:rPr>
      <w:tblPr/>
      <w:tcPr>
        <w:tcBorders>
          <w:left w:val="nil"/>
          <w:right w:val="nil"/>
          <w:insideH w:val="nil"/>
          <w:insideV w:val="nil"/>
        </w:tcBorders>
        <w:shd w:val="clear" w:color="auto" w:fill="0070C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2D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2D050" w:themeFill="accent4"/>
      </w:tcPr>
    </w:tblStylePr>
    <w:tblStylePr w:type="lastCol">
      <w:rPr>
        <w:b/>
        <w:bCs/>
        <w:color w:val="FFFFFF" w:themeColor="background1"/>
      </w:rPr>
      <w:tblPr/>
      <w:tcPr>
        <w:tcBorders>
          <w:left w:val="nil"/>
          <w:right w:val="nil"/>
          <w:insideH w:val="nil"/>
          <w:insideV w:val="nil"/>
        </w:tcBorders>
        <w:shd w:val="clear" w:color="auto" w:fill="92D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5"/>
      </w:tcPr>
    </w:tblStylePr>
    <w:tblStylePr w:type="lastCol">
      <w:rPr>
        <w:b/>
        <w:bCs/>
        <w:color w:val="FFFFFF" w:themeColor="background1"/>
      </w:rPr>
      <w:tblPr/>
      <w:tcPr>
        <w:tcBorders>
          <w:left w:val="nil"/>
          <w:right w:val="nil"/>
          <w:insideH w:val="nil"/>
          <w:insideV w:val="nil"/>
        </w:tcBorders>
        <w:shd w:val="clear" w:color="auto" w:fill="F7964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6"/>
      </w:tcPr>
    </w:tblStylePr>
    <w:tblStylePr w:type="lastCol">
      <w:rPr>
        <w:b/>
        <w:bCs/>
        <w:color w:val="FFFFFF" w:themeColor="background1"/>
      </w:rPr>
      <w:tblPr/>
      <w:tcPr>
        <w:tcBorders>
          <w:left w:val="nil"/>
          <w:right w:val="nil"/>
          <w:insideH w:val="nil"/>
          <w:insideV w:val="nil"/>
        </w:tcBorders>
        <w:shd w:val="clear" w:color="auto" w:fill="FFC0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861F48"/>
    <w:pPr>
      <w:spacing w:line="240" w:lineRule="auto"/>
      <w:ind w:left="720"/>
      <w:contextualSpacing/>
    </w:pPr>
    <w:rPr>
      <w:rFonts w:ascii="Arial" w:hAnsi="Arial"/>
      <w:sz w:val="20"/>
      <w:szCs w:val="20"/>
      <w:lang w:eastAsia="en-US"/>
    </w:rPr>
  </w:style>
  <w:style w:type="paragraph" w:styleId="FootnoteText">
    <w:name w:val="footnote text"/>
    <w:basedOn w:val="Normal"/>
    <w:link w:val="FootnoteTextChar"/>
    <w:uiPriority w:val="99"/>
    <w:semiHidden/>
    <w:unhideWhenUsed/>
    <w:rsid w:val="00B53034"/>
    <w:pPr>
      <w:spacing w:line="240" w:lineRule="auto"/>
    </w:pPr>
    <w:rPr>
      <w:rFonts w:ascii="Arial" w:hAnsi="Arial"/>
      <w:sz w:val="20"/>
      <w:szCs w:val="20"/>
    </w:rPr>
  </w:style>
  <w:style w:type="character" w:customStyle="1" w:styleId="FootnoteTextChar">
    <w:name w:val="Footnote Text Char"/>
    <w:basedOn w:val="DefaultParagraphFont"/>
    <w:link w:val="FootnoteText"/>
    <w:uiPriority w:val="99"/>
    <w:semiHidden/>
    <w:rsid w:val="00B53034"/>
    <w:rPr>
      <w:rFonts w:ascii="Arial" w:hAnsi="Arial"/>
      <w:sz w:val="20"/>
      <w:szCs w:val="20"/>
    </w:rPr>
  </w:style>
  <w:style w:type="character" w:styleId="FootnoteReference">
    <w:name w:val="footnote reference"/>
    <w:basedOn w:val="DefaultParagraphFont"/>
    <w:uiPriority w:val="99"/>
    <w:semiHidden/>
    <w:unhideWhenUsed/>
    <w:rsid w:val="00B53034"/>
    <w:rPr>
      <w:vertAlign w:val="superscript"/>
    </w:rPr>
  </w:style>
  <w:style w:type="character" w:styleId="Hyperlink">
    <w:name w:val="Hyperlink"/>
    <w:basedOn w:val="DefaultParagraphFont"/>
    <w:uiPriority w:val="99"/>
    <w:unhideWhenUsed/>
    <w:rsid w:val="00B53034"/>
    <w:rPr>
      <w:color w:val="231F20" w:themeColor="hyperlink"/>
      <w:u w:val="single"/>
    </w:rPr>
  </w:style>
  <w:style w:type="paragraph" w:styleId="NormalWeb">
    <w:name w:val="Normal (Web)"/>
    <w:basedOn w:val="Normal"/>
    <w:uiPriority w:val="99"/>
    <w:unhideWhenUsed/>
    <w:rsid w:val="00014478"/>
    <w:pPr>
      <w:spacing w:before="100" w:beforeAutospacing="1" w:after="100" w:afterAutospacing="1" w:line="240" w:lineRule="auto"/>
    </w:pPr>
    <w:rPr>
      <w:rFonts w:ascii="Times New Roman" w:hAnsi="Times New Roman"/>
      <w:sz w:val="24"/>
      <w:szCs w:val="24"/>
    </w:rPr>
  </w:style>
  <w:style w:type="paragraph" w:styleId="Revision">
    <w:name w:val="Revision"/>
    <w:hidden/>
    <w:uiPriority w:val="99"/>
    <w:semiHidden/>
    <w:rsid w:val="003257AA"/>
    <w:pPr>
      <w:spacing w:line="240" w:lineRule="auto"/>
    </w:pPr>
  </w:style>
  <w:style w:type="character" w:styleId="CommentReference">
    <w:name w:val="annotation reference"/>
    <w:basedOn w:val="DefaultParagraphFont"/>
    <w:uiPriority w:val="99"/>
    <w:semiHidden/>
    <w:unhideWhenUsed/>
    <w:rsid w:val="003257AA"/>
    <w:rPr>
      <w:sz w:val="16"/>
      <w:szCs w:val="16"/>
    </w:rPr>
  </w:style>
  <w:style w:type="paragraph" w:styleId="CommentText">
    <w:name w:val="annotation text"/>
    <w:basedOn w:val="Normal"/>
    <w:link w:val="CommentTextChar"/>
    <w:uiPriority w:val="99"/>
    <w:semiHidden/>
    <w:unhideWhenUsed/>
    <w:rsid w:val="003257AA"/>
    <w:pPr>
      <w:spacing w:line="240" w:lineRule="auto"/>
    </w:pPr>
    <w:rPr>
      <w:sz w:val="20"/>
      <w:szCs w:val="20"/>
    </w:rPr>
  </w:style>
  <w:style w:type="character" w:customStyle="1" w:styleId="CommentTextChar">
    <w:name w:val="Comment Text Char"/>
    <w:basedOn w:val="DefaultParagraphFont"/>
    <w:link w:val="CommentText"/>
    <w:uiPriority w:val="99"/>
    <w:semiHidden/>
    <w:rsid w:val="003257AA"/>
    <w:rPr>
      <w:sz w:val="20"/>
      <w:szCs w:val="20"/>
    </w:rPr>
  </w:style>
  <w:style w:type="paragraph" w:styleId="CommentSubject">
    <w:name w:val="annotation subject"/>
    <w:basedOn w:val="CommentText"/>
    <w:next w:val="CommentText"/>
    <w:link w:val="CommentSubjectChar"/>
    <w:semiHidden/>
    <w:unhideWhenUsed/>
    <w:rsid w:val="003257AA"/>
    <w:rPr>
      <w:b/>
      <w:bCs/>
    </w:rPr>
  </w:style>
  <w:style w:type="character" w:customStyle="1" w:styleId="CommentSubjectChar">
    <w:name w:val="Comment Subject Char"/>
    <w:basedOn w:val="CommentTextChar"/>
    <w:link w:val="CommentSubject"/>
    <w:semiHidden/>
    <w:rsid w:val="003257AA"/>
    <w:rPr>
      <w:b/>
      <w:bCs/>
      <w:sz w:val="20"/>
      <w:szCs w:val="20"/>
    </w:rPr>
  </w:style>
  <w:style w:type="character" w:styleId="UnresolvedMention">
    <w:name w:val="Unresolved Mention"/>
    <w:basedOn w:val="DefaultParagraphFont"/>
    <w:uiPriority w:val="99"/>
    <w:semiHidden/>
    <w:unhideWhenUsed/>
    <w:rsid w:val="002A3E64"/>
    <w:rPr>
      <w:color w:val="605E5C"/>
      <w:shd w:val="clear" w:color="auto" w:fill="E1DFDD"/>
    </w:rPr>
  </w:style>
  <w:style w:type="character" w:styleId="FollowedHyperlink">
    <w:name w:val="FollowedHyperlink"/>
    <w:basedOn w:val="DefaultParagraphFont"/>
    <w:semiHidden/>
    <w:unhideWhenUsed/>
    <w:rsid w:val="00215D8E"/>
    <w:rPr>
      <w:color w:val="8ACED7" w:themeColor="followedHyperlink"/>
      <w:u w:val="single"/>
    </w:rPr>
  </w:style>
  <w:style w:type="character" w:customStyle="1" w:styleId="Heading1Char">
    <w:name w:val="Heading 1 Char"/>
    <w:basedOn w:val="DefaultParagraphFont"/>
    <w:link w:val="Heading1"/>
    <w:rsid w:val="00DA02EF"/>
    <w:rPr>
      <w:rFonts w:asciiTheme="majorHAnsi" w:hAnsiTheme="majorHAnsi"/>
      <w:b/>
      <w:caps/>
      <w:color w:val="003263" w:themeColor="text2"/>
      <w:spacing w:val="6"/>
      <w:sz w:val="22"/>
    </w:rPr>
  </w:style>
  <w:style w:type="paragraph" w:customStyle="1" w:styleId="CharChar1Char">
    <w:name w:val="Char Char1 Char"/>
    <w:basedOn w:val="Normal"/>
    <w:rsid w:val="00F64372"/>
    <w:pPr>
      <w:spacing w:after="160" w:line="240" w:lineRule="exact"/>
    </w:pPr>
    <w:rPr>
      <w:rFonts w:ascii="Tahoma" w:hAnsi="Tahoma" w:cs="Tahoma"/>
      <w:sz w:val="20"/>
      <w:szCs w:val="20"/>
      <w:lang w:val="en-US" w:eastAsia="en-US"/>
    </w:rPr>
  </w:style>
  <w:style w:type="paragraph" w:styleId="EndnoteText">
    <w:name w:val="endnote text"/>
    <w:basedOn w:val="Normal"/>
    <w:link w:val="EndnoteTextChar"/>
    <w:semiHidden/>
    <w:unhideWhenUsed/>
    <w:rsid w:val="006D4E09"/>
    <w:pPr>
      <w:spacing w:line="240" w:lineRule="auto"/>
    </w:pPr>
    <w:rPr>
      <w:sz w:val="20"/>
      <w:szCs w:val="20"/>
    </w:rPr>
  </w:style>
  <w:style w:type="character" w:customStyle="1" w:styleId="EndnoteTextChar">
    <w:name w:val="Endnote Text Char"/>
    <w:basedOn w:val="DefaultParagraphFont"/>
    <w:link w:val="EndnoteText"/>
    <w:semiHidden/>
    <w:rsid w:val="006D4E09"/>
    <w:rPr>
      <w:sz w:val="20"/>
      <w:szCs w:val="20"/>
    </w:rPr>
  </w:style>
  <w:style w:type="character" w:styleId="EndnoteReference">
    <w:name w:val="endnote reference"/>
    <w:basedOn w:val="DefaultParagraphFont"/>
    <w:semiHidden/>
    <w:unhideWhenUsed/>
    <w:rsid w:val="006D4E0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9143602">
      <w:bodyDiv w:val="1"/>
      <w:marLeft w:val="0"/>
      <w:marRight w:val="0"/>
      <w:marTop w:val="0"/>
      <w:marBottom w:val="0"/>
      <w:divBdr>
        <w:top w:val="none" w:sz="0" w:space="0" w:color="auto"/>
        <w:left w:val="none" w:sz="0" w:space="0" w:color="auto"/>
        <w:bottom w:val="none" w:sz="0" w:space="0" w:color="auto"/>
        <w:right w:val="none" w:sz="0" w:space="0" w:color="auto"/>
      </w:divBdr>
      <w:divsChild>
        <w:div w:id="1306205394">
          <w:marLeft w:val="0"/>
          <w:marRight w:val="0"/>
          <w:marTop w:val="0"/>
          <w:marBottom w:val="0"/>
          <w:divBdr>
            <w:top w:val="none" w:sz="0" w:space="0" w:color="auto"/>
            <w:left w:val="none" w:sz="0" w:space="0" w:color="auto"/>
            <w:bottom w:val="none" w:sz="0" w:space="0" w:color="auto"/>
            <w:right w:val="none" w:sz="0" w:space="0" w:color="auto"/>
          </w:divBdr>
          <w:divsChild>
            <w:div w:id="136743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112137">
      <w:bodyDiv w:val="1"/>
      <w:marLeft w:val="0"/>
      <w:marRight w:val="0"/>
      <w:marTop w:val="0"/>
      <w:marBottom w:val="0"/>
      <w:divBdr>
        <w:top w:val="none" w:sz="0" w:space="0" w:color="auto"/>
        <w:left w:val="none" w:sz="0" w:space="0" w:color="auto"/>
        <w:bottom w:val="none" w:sz="0" w:space="0" w:color="auto"/>
        <w:right w:val="none" w:sz="0" w:space="0" w:color="auto"/>
      </w:divBdr>
      <w:divsChild>
        <w:div w:id="1344355208">
          <w:marLeft w:val="0"/>
          <w:marRight w:val="0"/>
          <w:marTop w:val="0"/>
          <w:marBottom w:val="0"/>
          <w:divBdr>
            <w:top w:val="none" w:sz="0" w:space="0" w:color="auto"/>
            <w:left w:val="none" w:sz="0" w:space="0" w:color="auto"/>
            <w:bottom w:val="none" w:sz="0" w:space="0" w:color="auto"/>
            <w:right w:val="none" w:sz="0" w:space="0" w:color="auto"/>
          </w:divBdr>
          <w:divsChild>
            <w:div w:id="111871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saveSmartTagsAsXml/>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planning-schemes.app.planning.vic.gov.au/Greater%20Geelong/docs" TargetMode="External"/><Relationship Id="rId18" Type="http://schemas.microsoft.com/office/2007/relationships/hdphoto" Target="media/hdphoto1.wdp"/><Relationship Id="rId26" Type="http://schemas.openxmlformats.org/officeDocument/2006/relationships/image" Target="media/image9.png"/><Relationship Id="rId39"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image" Target="media/image4.jpeg"/><Relationship Id="rId34" Type="http://schemas.openxmlformats.org/officeDocument/2006/relationships/image" Target="media/image15.jpeg"/><Relationship Id="rId42"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hyperlink" Target="https://planning-schemes.app.planning.vic.gov.au/Greater%20Geelong/docs" TargetMode="External"/><Relationship Id="rId17" Type="http://schemas.openxmlformats.org/officeDocument/2006/relationships/image" Target="media/image2.jpeg"/><Relationship Id="rId25" Type="http://schemas.openxmlformats.org/officeDocument/2006/relationships/image" Target="media/image8.jpeg"/><Relationship Id="rId33" Type="http://schemas.openxmlformats.org/officeDocument/2006/relationships/image" Target="media/image14.jpe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www.geelongaustralia.com.au/planning/documents/item/8cc1f8d76ed2c65.aspx" TargetMode="External"/><Relationship Id="rId20" Type="http://schemas.microsoft.com/office/2007/relationships/hdphoto" Target="media/hdphoto2.wdp"/><Relationship Id="rId29" Type="http://schemas.openxmlformats.org/officeDocument/2006/relationships/image" Target="media/image1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eelongaustralia.com.au/planning/documents/item/8cc1f8d76ed2c65.aspx" TargetMode="Externa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australia.icomos.org/publications/burra-charter-practice-notes/" TargetMode="External"/><Relationship Id="rId23" Type="http://schemas.openxmlformats.org/officeDocument/2006/relationships/image" Target="media/image6.jpeg"/><Relationship Id="rId28" Type="http://schemas.microsoft.com/office/2007/relationships/hdphoto" Target="media/hdphoto3.wdp"/><Relationship Id="rId36" Type="http://schemas.openxmlformats.org/officeDocument/2006/relationships/image" Target="media/image17.jpeg"/><Relationship Id="rId10" Type="http://schemas.openxmlformats.org/officeDocument/2006/relationships/hyperlink" Target="https://www.geelongaustralia.com.au/planning/documents/item/8cc1f8d76ed2c65.aspx" TargetMode="External"/><Relationship Id="rId19"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australia.icomos.org/wp-content/uploads/The-Burra-Charter-2013-Adopted-31.10.2013.pdf" TargetMode="External"/><Relationship Id="rId22" Type="http://schemas.openxmlformats.org/officeDocument/2006/relationships/image" Target="media/image5.jpeg"/><Relationship Id="rId27" Type="http://schemas.openxmlformats.org/officeDocument/2006/relationships/image" Target="media/image10.png"/><Relationship Id="rId30" Type="http://schemas.microsoft.com/office/2007/relationships/hdphoto" Target="media/hdphoto4.wdp"/><Relationship Id="rId35" Type="http://schemas.openxmlformats.org/officeDocument/2006/relationships/image" Target="media/image16.jpeg"/><Relationship Id="rId43" Type="http://schemas.openxmlformats.org/officeDocument/2006/relationships/footer" Target="footer3.xm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g00566\AppData\Roaming\Microsoft\Templates\TRIM\Corporate%20Templates\COGG%20Info%20Sheet%20Template.DOTX"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C0504D"/>
      </a:accent2>
      <a:accent3>
        <a:srgbClr val="0070C0"/>
      </a:accent3>
      <a:accent4>
        <a:srgbClr val="92D050"/>
      </a:accent4>
      <a:accent5>
        <a:srgbClr val="F79646"/>
      </a:accent5>
      <a:accent6>
        <a:srgbClr val="FFC000"/>
      </a:accent6>
      <a:hlink>
        <a:srgbClr val="231F20"/>
      </a:hlink>
      <a:folHlink>
        <a:srgbClr val="8ACED7"/>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B1F057FF-32D5-427F-B6A9-4E237C25F269}">
  <ds:schemaRefs>
    <ds:schemaRef ds:uri="http://schemas.openxmlformats.org/officeDocument/2006/bibliography"/>
  </ds:schemaRefs>
</ds:datastoreItem>
</file>

<file path=customXml/itemProps2.xml><?xml version="1.0" encoding="utf-8"?>
<ds:datastoreItem xmlns:ds="http://schemas.openxmlformats.org/officeDocument/2006/customXml" ds:itemID="{0DC45012-6624-43A7-B0D3-F5E780F4F744}">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COGG Info Sheet Template.DOTX</Template>
  <TotalTime>11</TotalTime>
  <Pages>8</Pages>
  <Words>1898</Words>
  <Characters>10938</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 Garrett</dc:creator>
  <cp:lastModifiedBy>David Rowe</cp:lastModifiedBy>
  <cp:revision>3</cp:revision>
  <cp:lastPrinted>2023-07-18T03:34:00Z</cp:lastPrinted>
  <dcterms:created xsi:type="dcterms:W3CDTF">2023-07-19T20:41:00Z</dcterms:created>
  <dcterms:modified xsi:type="dcterms:W3CDTF">2023-07-19T20:52:00Z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recNumber">
    <vt:lpwstr>Record Number</vt:lpwstr>
  </property>
</Properties>
</file>