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tbl>
      <w:tblPr>
        <w:tblW w:w="0" w:type="auto"/>
        <w:tblInd w:w="4139" w:type="dxa"/>
        <w:tblLook w:val="04A0" w:firstRow="1" w:lastRow="0" w:firstColumn="1" w:lastColumn="0" w:noHBand="0" w:noVBand="1"/>
      </w:tblPr>
      <w:tblGrid>
        <w:gridCol w:w="5758"/>
      </w:tblGrid>
      <w:tr w:rsidR="002A7D53" w:rsidTr="002A7D53" w14:paraId="742A7748" w14:textId="77777777">
        <w:tc>
          <w:tcPr>
            <w:tcW w:w="5017" w:type="dxa"/>
          </w:tcPr>
          <w:p w:rsidR="002A7D53" w:rsidP="002A7D53" w:rsidRDefault="002A7D53" w14:paraId="533425FD" w14:textId="77777777">
            <w:pPr>
              <w:pStyle w:val="TitleLeadin"/>
            </w:pPr>
            <w:r>
              <w:t>The City Of</w:t>
            </w:r>
          </w:p>
          <w:p w:rsidR="002A7D53" w:rsidP="002A7D53" w:rsidRDefault="002A7D53" w14:paraId="12A23726" w14:textId="77777777">
            <w:pPr>
              <w:pStyle w:val="TitleLeadin"/>
            </w:pPr>
            <w:r>
              <w:t>Greater Geelong</w:t>
            </w:r>
          </w:p>
        </w:tc>
      </w:tr>
      <w:tr w:rsidR="002A7D53" w:rsidTr="002A7D53" w14:paraId="162A8425" w14:textId="77777777">
        <w:tc>
          <w:tcPr>
            <w:tcW w:w="5017" w:type="dxa"/>
          </w:tcPr>
          <w:p w:rsidRPr="00236CCB" w:rsidR="002A7D53" w:rsidP="00236CCB" w:rsidRDefault="009B74CC" w14:paraId="1C2EF421" w14:textId="2965D46B">
            <w:pPr>
              <w:pStyle w:val="Title"/>
            </w:pPr>
            <w:r>
              <w:t>National HOusing and Homelessness Plan</w:t>
            </w:r>
          </w:p>
          <w:p w:rsidRPr="00236CCB" w:rsidR="00236CCB" w:rsidP="00236CCB" w:rsidRDefault="00236CCB" w14:paraId="505849EA" w14:textId="77777777"/>
          <w:p w:rsidR="0032135D" w:rsidP="0032135D" w:rsidRDefault="0032135D" w14:paraId="66186B20" w14:textId="77777777">
            <w:pPr>
              <w:spacing w:before="120" w:after="200"/>
            </w:pPr>
            <w:r>
              <w:rPr>
                <w:noProof/>
              </w:rPr>
              <mc:AlternateContent>
                <mc:Choice Requires="wps">
                  <w:drawing>
                    <wp:inline distT="0" distB="0" distL="0" distR="0" wp14:anchorId="323077F8" wp14:editId="0877453B">
                      <wp:extent cx="360000" cy="0"/>
                      <wp:effectExtent l="0" t="19050" r="21590" b="19050"/>
                      <wp:docPr id="78" name="Straight Connector 78"/>
                      <wp:cNvGraphicFramePr/>
                      <a:graphic xmlns:a="http://schemas.openxmlformats.org/drawingml/2006/main">
                        <a:graphicData uri="http://schemas.microsoft.com/office/word/2010/wordprocessingShape">
                          <wps:wsp>
                            <wps:cNvCnPr/>
                            <wps:spPr>
                              <a:xfrm>
                                <a:off x="0" y="0"/>
                                <a:ext cx="36000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w14:anchorId="7417E5DA">
                    <v:line id="Straight Connector 78" style="visibility:visible;mso-wrap-style:square;mso-left-percent:-10001;mso-top-percent:-10001;mso-position-horizontal:absolute;mso-position-horizontal-relative:char;mso-position-vertical:absolute;mso-position-vertical-relative:line;mso-left-percent:-10001;mso-top-percent:-10001" o:spid="_x0000_s1026" strokecolor="#003263 [3215]" strokeweight="3pt" from="0,0" to="28.35pt,0" w14:anchorId="70F79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">
                      <w10:anchorlock/>
                    </v:line>
                  </w:pict>
                </mc:Fallback>
              </mc:AlternateContent>
            </w:r>
          </w:p>
          <w:p w:rsidR="002A7D53" w:rsidP="0032135D" w:rsidRDefault="002A7D53" w14:paraId="51D291A7" w14:textId="77777777"/>
        </w:tc>
      </w:tr>
      <w:tr w:rsidR="002A7D53" w:rsidTr="0032135D" w14:paraId="217265CC" w14:textId="77777777">
        <w:trPr>
          <w:trHeight w:val="964"/>
        </w:trPr>
        <w:tc>
          <w:tcPr>
            <w:tcW w:w="5017" w:type="dxa"/>
          </w:tcPr>
          <w:p w:rsidRPr="00236CCB" w:rsidR="002A7D53" w:rsidP="00236CCB" w:rsidRDefault="00880D1F" w14:paraId="781C3610" w14:textId="1B744DC7">
            <w:pPr>
              <w:pStyle w:val="Subtitle"/>
            </w:pPr>
            <w:r>
              <w:t>Submission</w:t>
            </w:r>
          </w:p>
          <w:p w:rsidRPr="00236CCB" w:rsidR="00236CCB" w:rsidP="00236CCB" w:rsidRDefault="00236CCB" w14:paraId="6D52ED9C" w14:textId="77777777"/>
        </w:tc>
      </w:tr>
    </w:tbl>
    <w:p w:rsidR="002A7D53" w:rsidP="0032135D" w:rsidRDefault="002A7D53" w14:paraId="3CB7FAC8" w14:textId="77777777"/>
    <w:p w:rsidR="002A7D53" w:rsidP="002A7D53" w:rsidRDefault="002A7D53" w14:paraId="791CA2EB" w14:textId="77777777">
      <w:pPr>
        <w:sectPr w:rsidR="002A7D53" w:rsidSect="002A7D53">
          <w:headerReference w:type="even" r:id="rId9"/>
          <w:headerReference w:type="default" r:id="rId10"/>
          <w:footerReference w:type="even" r:id="rId11"/>
          <w:footerReference w:type="default" r:id="rId12"/>
          <w:headerReference w:type="first" r:id="rId13"/>
          <w:footerReference w:type="first" r:id="rId14"/>
          <w:pgSz w:w="11907" w:h="16840" w:orient="portrait" w:code="9"/>
          <w:pgMar w:top="2353" w:right="794" w:bottom="794" w:left="794" w:header="567" w:footer="340" w:gutter="0"/>
          <w:cols w:space="284"/>
          <w:titlePg/>
          <w:docGrid w:linePitch="360"/>
        </w:sectPr>
      </w:pPr>
    </w:p>
    <w:p w:rsidR="004D51B9" w:rsidP="00030518" w:rsidRDefault="004D51B9" w14:paraId="5AA31086" w14:textId="02456A79">
      <w:pPr>
        <w:pStyle w:val="TOCHeading"/>
        <w:framePr w:wrap="around"/>
      </w:pPr>
      <w:r>
        <w:t>Contents</w:t>
      </w:r>
    </w:p>
    <w:p w:rsidR="00640A10" w:rsidRDefault="00E0258F" w14:paraId="2CA5917F" w14:textId="0F8579C5">
      <w:pPr>
        <w:pStyle w:val="TOC1"/>
        <w:rPr>
          <w:rFonts w:eastAsiaTheme="minorEastAsia" w:cstheme="minorBidi"/>
          <w:b w:val="0"/>
          <w:color w:val="auto"/>
          <w:spacing w:val="0"/>
          <w:sz w:val="22"/>
          <w:szCs w:val="22"/>
        </w:rPr>
      </w:pPr>
      <w:r>
        <w:fldChar w:fldCharType="begin"/>
      </w:r>
      <w:r w:rsidR="3132676C">
        <w:instrText>TOC \o "1-3" \h \z \u</w:instrText>
      </w:r>
      <w:r>
        <w:fldChar w:fldCharType="separate"/>
      </w:r>
      <w:hyperlink w:history="1" w:anchor="_Toc148697949">
        <w:r w:rsidRPr="0034736F" w:rsidR="00640A10">
          <w:rPr>
            <w:rStyle w:val="Hyperlink"/>
          </w:rPr>
          <w:t>Executive summary</w:t>
        </w:r>
        <w:r w:rsidR="00640A10">
          <w:rPr>
            <w:webHidden/>
          </w:rPr>
          <w:tab/>
        </w:r>
        <w:r w:rsidR="00640A10">
          <w:rPr>
            <w:webHidden/>
          </w:rPr>
          <w:fldChar w:fldCharType="begin"/>
        </w:r>
        <w:r w:rsidR="00640A10">
          <w:rPr>
            <w:webHidden/>
          </w:rPr>
          <w:instrText xml:space="preserve"> PAGEREF _Toc148697949 \h </w:instrText>
        </w:r>
        <w:r w:rsidR="00640A10">
          <w:rPr>
            <w:webHidden/>
          </w:rPr>
        </w:r>
        <w:r w:rsidR="00640A10">
          <w:rPr>
            <w:webHidden/>
          </w:rPr>
          <w:fldChar w:fldCharType="separate"/>
        </w:r>
        <w:r w:rsidR="00640A10">
          <w:rPr>
            <w:webHidden/>
          </w:rPr>
          <w:t>3</w:t>
        </w:r>
        <w:r w:rsidR="00640A10">
          <w:rPr>
            <w:webHidden/>
          </w:rPr>
          <w:fldChar w:fldCharType="end"/>
        </w:r>
      </w:hyperlink>
    </w:p>
    <w:p w:rsidR="00640A10" w:rsidRDefault="00285E7C" w14:paraId="66CB7067" w14:textId="4248FA1A">
      <w:pPr>
        <w:pStyle w:val="TOC1"/>
        <w:rPr>
          <w:rFonts w:eastAsiaTheme="minorEastAsia" w:cstheme="minorBidi"/>
          <w:b w:val="0"/>
          <w:color w:val="auto"/>
          <w:spacing w:val="0"/>
          <w:sz w:val="22"/>
          <w:szCs w:val="22"/>
        </w:rPr>
      </w:pPr>
      <w:hyperlink w:history="1" w:anchor="_Toc148697950">
        <w:r w:rsidRPr="0034736F" w:rsidR="00640A10">
          <w:rPr>
            <w:rStyle w:val="Hyperlink"/>
          </w:rPr>
          <w:t>Introduction</w:t>
        </w:r>
        <w:r w:rsidR="00640A10">
          <w:rPr>
            <w:webHidden/>
          </w:rPr>
          <w:tab/>
        </w:r>
        <w:r w:rsidR="00640A10">
          <w:rPr>
            <w:webHidden/>
          </w:rPr>
          <w:fldChar w:fldCharType="begin"/>
        </w:r>
        <w:r w:rsidR="00640A10">
          <w:rPr>
            <w:webHidden/>
          </w:rPr>
          <w:instrText xml:space="preserve"> PAGEREF _Toc148697950 \h </w:instrText>
        </w:r>
        <w:r w:rsidR="00640A10">
          <w:rPr>
            <w:webHidden/>
          </w:rPr>
        </w:r>
        <w:r w:rsidR="00640A10">
          <w:rPr>
            <w:webHidden/>
          </w:rPr>
          <w:fldChar w:fldCharType="separate"/>
        </w:r>
        <w:r w:rsidR="00640A10">
          <w:rPr>
            <w:webHidden/>
          </w:rPr>
          <w:t>5</w:t>
        </w:r>
        <w:r w:rsidR="00640A10">
          <w:rPr>
            <w:webHidden/>
          </w:rPr>
          <w:fldChar w:fldCharType="end"/>
        </w:r>
      </w:hyperlink>
    </w:p>
    <w:p w:rsidR="00640A10" w:rsidRDefault="00285E7C" w14:paraId="25A41342" w14:textId="6ED1F51A">
      <w:pPr>
        <w:pStyle w:val="TOC1"/>
        <w:rPr>
          <w:rFonts w:eastAsiaTheme="minorEastAsia" w:cstheme="minorBidi"/>
          <w:b w:val="0"/>
          <w:color w:val="auto"/>
          <w:spacing w:val="0"/>
          <w:sz w:val="22"/>
          <w:szCs w:val="22"/>
        </w:rPr>
      </w:pPr>
      <w:hyperlink w:history="1" w:anchor="_Toc148697951">
        <w:r w:rsidRPr="0034736F" w:rsidR="00640A10">
          <w:rPr>
            <w:rStyle w:val="Hyperlink"/>
          </w:rPr>
          <w:t>Housing affordability issues in Geelong</w:t>
        </w:r>
        <w:r w:rsidR="00640A10">
          <w:rPr>
            <w:webHidden/>
          </w:rPr>
          <w:tab/>
        </w:r>
        <w:r w:rsidR="00640A10">
          <w:rPr>
            <w:webHidden/>
          </w:rPr>
          <w:fldChar w:fldCharType="begin"/>
        </w:r>
        <w:r w:rsidR="00640A10">
          <w:rPr>
            <w:webHidden/>
          </w:rPr>
          <w:instrText xml:space="preserve"> PAGEREF _Toc148697951 \h </w:instrText>
        </w:r>
        <w:r w:rsidR="00640A10">
          <w:rPr>
            <w:webHidden/>
          </w:rPr>
        </w:r>
        <w:r w:rsidR="00640A10">
          <w:rPr>
            <w:webHidden/>
          </w:rPr>
          <w:fldChar w:fldCharType="separate"/>
        </w:r>
        <w:r w:rsidR="00640A10">
          <w:rPr>
            <w:webHidden/>
          </w:rPr>
          <w:t>6</w:t>
        </w:r>
        <w:r w:rsidR="00640A10">
          <w:rPr>
            <w:webHidden/>
          </w:rPr>
          <w:fldChar w:fldCharType="end"/>
        </w:r>
      </w:hyperlink>
    </w:p>
    <w:p w:rsidR="00640A10" w:rsidRDefault="00285E7C" w14:paraId="22839DC6" w14:textId="7E1CBAA4">
      <w:pPr>
        <w:pStyle w:val="TOC2"/>
        <w:rPr>
          <w:rFonts w:eastAsiaTheme="minorEastAsia" w:cstheme="minorBidi"/>
          <w:spacing w:val="0"/>
          <w:sz w:val="22"/>
          <w:szCs w:val="22"/>
        </w:rPr>
      </w:pPr>
      <w:hyperlink w:history="1" w:anchor="_Toc148697952">
        <w:r w:rsidRPr="0034736F" w:rsidR="00640A10">
          <w:rPr>
            <w:rStyle w:val="Hyperlink"/>
          </w:rPr>
          <w:t>House prices and affordability</w:t>
        </w:r>
        <w:r w:rsidR="00640A10">
          <w:rPr>
            <w:webHidden/>
          </w:rPr>
          <w:tab/>
        </w:r>
        <w:r w:rsidR="00640A10">
          <w:rPr>
            <w:webHidden/>
          </w:rPr>
          <w:fldChar w:fldCharType="begin"/>
        </w:r>
        <w:r w:rsidR="00640A10">
          <w:rPr>
            <w:webHidden/>
          </w:rPr>
          <w:instrText xml:space="preserve"> PAGEREF _Toc148697952 \h </w:instrText>
        </w:r>
        <w:r w:rsidR="00640A10">
          <w:rPr>
            <w:webHidden/>
          </w:rPr>
        </w:r>
        <w:r w:rsidR="00640A10">
          <w:rPr>
            <w:webHidden/>
          </w:rPr>
          <w:fldChar w:fldCharType="separate"/>
        </w:r>
        <w:r w:rsidR="00640A10">
          <w:rPr>
            <w:webHidden/>
          </w:rPr>
          <w:t>6</w:t>
        </w:r>
        <w:r w:rsidR="00640A10">
          <w:rPr>
            <w:webHidden/>
          </w:rPr>
          <w:fldChar w:fldCharType="end"/>
        </w:r>
      </w:hyperlink>
    </w:p>
    <w:p w:rsidR="00640A10" w:rsidRDefault="00285E7C" w14:paraId="2E4883C1" w14:textId="6C48278C">
      <w:pPr>
        <w:pStyle w:val="TOC2"/>
        <w:rPr>
          <w:rFonts w:eastAsiaTheme="minorEastAsia" w:cstheme="minorBidi"/>
          <w:spacing w:val="0"/>
          <w:sz w:val="22"/>
          <w:szCs w:val="22"/>
        </w:rPr>
      </w:pPr>
      <w:hyperlink w:history="1" w:anchor="_Toc148697953">
        <w:r w:rsidRPr="0034736F" w:rsidR="00640A10">
          <w:rPr>
            <w:rStyle w:val="Hyperlink"/>
          </w:rPr>
          <w:t>Housing supply and consumption</w:t>
        </w:r>
        <w:r w:rsidR="00640A10">
          <w:rPr>
            <w:webHidden/>
          </w:rPr>
          <w:tab/>
        </w:r>
        <w:r w:rsidR="00640A10">
          <w:rPr>
            <w:webHidden/>
          </w:rPr>
          <w:fldChar w:fldCharType="begin"/>
        </w:r>
        <w:r w:rsidR="00640A10">
          <w:rPr>
            <w:webHidden/>
          </w:rPr>
          <w:instrText xml:space="preserve"> PAGEREF _Toc148697953 \h </w:instrText>
        </w:r>
        <w:r w:rsidR="00640A10">
          <w:rPr>
            <w:webHidden/>
          </w:rPr>
        </w:r>
        <w:r w:rsidR="00640A10">
          <w:rPr>
            <w:webHidden/>
          </w:rPr>
          <w:fldChar w:fldCharType="separate"/>
        </w:r>
        <w:r w:rsidR="00640A10">
          <w:rPr>
            <w:webHidden/>
          </w:rPr>
          <w:t>6</w:t>
        </w:r>
        <w:r w:rsidR="00640A10">
          <w:rPr>
            <w:webHidden/>
          </w:rPr>
          <w:fldChar w:fldCharType="end"/>
        </w:r>
      </w:hyperlink>
    </w:p>
    <w:p w:rsidR="00640A10" w:rsidRDefault="00285E7C" w14:paraId="2EF36040" w14:textId="6648DE2D">
      <w:pPr>
        <w:pStyle w:val="TOC2"/>
        <w:rPr>
          <w:rFonts w:eastAsiaTheme="minorEastAsia" w:cstheme="minorBidi"/>
          <w:spacing w:val="0"/>
          <w:sz w:val="22"/>
          <w:szCs w:val="22"/>
        </w:rPr>
      </w:pPr>
      <w:hyperlink w:history="1" w:anchor="_Toc148697954">
        <w:r w:rsidRPr="0034736F" w:rsidR="00640A10">
          <w:rPr>
            <w:rStyle w:val="Hyperlink"/>
          </w:rPr>
          <w:t>Housing Stress, Homelessness And Affordable Housing Need</w:t>
        </w:r>
        <w:r w:rsidR="00640A10">
          <w:rPr>
            <w:webHidden/>
          </w:rPr>
          <w:tab/>
        </w:r>
        <w:r w:rsidR="00640A10">
          <w:rPr>
            <w:webHidden/>
          </w:rPr>
          <w:fldChar w:fldCharType="begin"/>
        </w:r>
        <w:r w:rsidR="00640A10">
          <w:rPr>
            <w:webHidden/>
          </w:rPr>
          <w:instrText xml:space="preserve"> PAGEREF _Toc148697954 \h </w:instrText>
        </w:r>
        <w:r w:rsidR="00640A10">
          <w:rPr>
            <w:webHidden/>
          </w:rPr>
        </w:r>
        <w:r w:rsidR="00640A10">
          <w:rPr>
            <w:webHidden/>
          </w:rPr>
          <w:fldChar w:fldCharType="separate"/>
        </w:r>
        <w:r w:rsidR="00640A10">
          <w:rPr>
            <w:webHidden/>
          </w:rPr>
          <w:t>7</w:t>
        </w:r>
        <w:r w:rsidR="00640A10">
          <w:rPr>
            <w:webHidden/>
          </w:rPr>
          <w:fldChar w:fldCharType="end"/>
        </w:r>
      </w:hyperlink>
    </w:p>
    <w:p w:rsidR="00640A10" w:rsidRDefault="00285E7C" w14:paraId="49C0489F" w14:textId="2B1A3DE9">
      <w:pPr>
        <w:pStyle w:val="TOC1"/>
        <w:rPr>
          <w:rFonts w:eastAsiaTheme="minorEastAsia" w:cstheme="minorBidi"/>
          <w:b w:val="0"/>
          <w:color w:val="auto"/>
          <w:spacing w:val="0"/>
          <w:sz w:val="22"/>
          <w:szCs w:val="22"/>
        </w:rPr>
      </w:pPr>
      <w:hyperlink w:history="1" w:anchor="_Toc148697955">
        <w:r w:rsidRPr="0034736F" w:rsidR="00640A10">
          <w:rPr>
            <w:rStyle w:val="Hyperlink"/>
          </w:rPr>
          <w:t>A framework for housing delivery</w:t>
        </w:r>
        <w:r w:rsidR="00640A10">
          <w:rPr>
            <w:webHidden/>
          </w:rPr>
          <w:tab/>
        </w:r>
        <w:r w:rsidR="00640A10">
          <w:rPr>
            <w:webHidden/>
          </w:rPr>
          <w:fldChar w:fldCharType="begin"/>
        </w:r>
        <w:r w:rsidR="00640A10">
          <w:rPr>
            <w:webHidden/>
          </w:rPr>
          <w:instrText xml:space="preserve"> PAGEREF _Toc148697955 \h </w:instrText>
        </w:r>
        <w:r w:rsidR="00640A10">
          <w:rPr>
            <w:webHidden/>
          </w:rPr>
        </w:r>
        <w:r w:rsidR="00640A10">
          <w:rPr>
            <w:webHidden/>
          </w:rPr>
          <w:fldChar w:fldCharType="separate"/>
        </w:r>
        <w:r w:rsidR="00640A10">
          <w:rPr>
            <w:webHidden/>
          </w:rPr>
          <w:t>8</w:t>
        </w:r>
        <w:r w:rsidR="00640A10">
          <w:rPr>
            <w:webHidden/>
          </w:rPr>
          <w:fldChar w:fldCharType="end"/>
        </w:r>
      </w:hyperlink>
    </w:p>
    <w:p w:rsidR="00640A10" w:rsidRDefault="00285E7C" w14:paraId="70AEDFA3" w14:textId="5FE7CCE7">
      <w:pPr>
        <w:pStyle w:val="TOC1"/>
        <w:rPr>
          <w:rFonts w:eastAsiaTheme="minorEastAsia" w:cstheme="minorBidi"/>
          <w:b w:val="0"/>
          <w:color w:val="auto"/>
          <w:spacing w:val="0"/>
          <w:sz w:val="22"/>
          <w:szCs w:val="22"/>
        </w:rPr>
      </w:pPr>
      <w:hyperlink w:history="1" w:anchor="_Toc148697956">
        <w:r w:rsidRPr="0034736F" w:rsidR="00640A10">
          <w:rPr>
            <w:rStyle w:val="Hyperlink"/>
          </w:rPr>
          <w:t>Implications of monetary policy and tax treatment of properties</w:t>
        </w:r>
        <w:r w:rsidR="00640A10">
          <w:rPr>
            <w:webHidden/>
          </w:rPr>
          <w:tab/>
        </w:r>
        <w:r w:rsidR="00640A10">
          <w:rPr>
            <w:webHidden/>
          </w:rPr>
          <w:fldChar w:fldCharType="begin"/>
        </w:r>
        <w:r w:rsidR="00640A10">
          <w:rPr>
            <w:webHidden/>
          </w:rPr>
          <w:instrText xml:space="preserve"> PAGEREF _Toc148697956 \h </w:instrText>
        </w:r>
        <w:r w:rsidR="00640A10">
          <w:rPr>
            <w:webHidden/>
          </w:rPr>
        </w:r>
        <w:r w:rsidR="00640A10">
          <w:rPr>
            <w:webHidden/>
          </w:rPr>
          <w:fldChar w:fldCharType="separate"/>
        </w:r>
        <w:r w:rsidR="00640A10">
          <w:rPr>
            <w:webHidden/>
          </w:rPr>
          <w:t>10</w:t>
        </w:r>
        <w:r w:rsidR="00640A10">
          <w:rPr>
            <w:webHidden/>
          </w:rPr>
          <w:fldChar w:fldCharType="end"/>
        </w:r>
      </w:hyperlink>
    </w:p>
    <w:p w:rsidR="00640A10" w:rsidRDefault="00285E7C" w14:paraId="7FC67549" w14:textId="367AA986">
      <w:pPr>
        <w:pStyle w:val="TOC2"/>
        <w:rPr>
          <w:rFonts w:eastAsiaTheme="minorEastAsia" w:cstheme="minorBidi"/>
          <w:spacing w:val="0"/>
          <w:sz w:val="22"/>
          <w:szCs w:val="22"/>
        </w:rPr>
      </w:pPr>
      <w:hyperlink w:history="1" w:anchor="_Toc148697957">
        <w:r w:rsidRPr="0034736F" w:rsidR="00640A10">
          <w:rPr>
            <w:rStyle w:val="Hyperlink"/>
          </w:rPr>
          <w:t>Housing Affordability</w:t>
        </w:r>
        <w:r w:rsidR="00640A10">
          <w:rPr>
            <w:webHidden/>
          </w:rPr>
          <w:tab/>
        </w:r>
        <w:r w:rsidR="00640A10">
          <w:rPr>
            <w:webHidden/>
          </w:rPr>
          <w:fldChar w:fldCharType="begin"/>
        </w:r>
        <w:r w:rsidR="00640A10">
          <w:rPr>
            <w:webHidden/>
          </w:rPr>
          <w:instrText xml:space="preserve"> PAGEREF _Toc148697957 \h </w:instrText>
        </w:r>
        <w:r w:rsidR="00640A10">
          <w:rPr>
            <w:webHidden/>
          </w:rPr>
        </w:r>
        <w:r w:rsidR="00640A10">
          <w:rPr>
            <w:webHidden/>
          </w:rPr>
          <w:fldChar w:fldCharType="separate"/>
        </w:r>
        <w:r w:rsidR="00640A10">
          <w:rPr>
            <w:webHidden/>
          </w:rPr>
          <w:t>10</w:t>
        </w:r>
        <w:r w:rsidR="00640A10">
          <w:rPr>
            <w:webHidden/>
          </w:rPr>
          <w:fldChar w:fldCharType="end"/>
        </w:r>
      </w:hyperlink>
    </w:p>
    <w:p w:rsidR="00640A10" w:rsidRDefault="00285E7C" w14:paraId="7B8E6222" w14:textId="701870CD">
      <w:pPr>
        <w:pStyle w:val="TOC2"/>
        <w:rPr>
          <w:rFonts w:eastAsiaTheme="minorEastAsia" w:cstheme="minorBidi"/>
          <w:spacing w:val="0"/>
          <w:sz w:val="22"/>
          <w:szCs w:val="22"/>
        </w:rPr>
      </w:pPr>
      <w:hyperlink w:history="1" w:anchor="_Toc148697958">
        <w:r w:rsidRPr="0034736F" w:rsidR="00640A10">
          <w:rPr>
            <w:rStyle w:val="Hyperlink"/>
          </w:rPr>
          <w:t>Monetary policies and housing demand</w:t>
        </w:r>
        <w:r w:rsidR="00640A10">
          <w:rPr>
            <w:webHidden/>
          </w:rPr>
          <w:tab/>
        </w:r>
        <w:r w:rsidR="00640A10">
          <w:rPr>
            <w:webHidden/>
          </w:rPr>
          <w:fldChar w:fldCharType="begin"/>
        </w:r>
        <w:r w:rsidR="00640A10">
          <w:rPr>
            <w:webHidden/>
          </w:rPr>
          <w:instrText xml:space="preserve"> PAGEREF _Toc148697958 \h </w:instrText>
        </w:r>
        <w:r w:rsidR="00640A10">
          <w:rPr>
            <w:webHidden/>
          </w:rPr>
        </w:r>
        <w:r w:rsidR="00640A10">
          <w:rPr>
            <w:webHidden/>
          </w:rPr>
          <w:fldChar w:fldCharType="separate"/>
        </w:r>
        <w:r w:rsidR="00640A10">
          <w:rPr>
            <w:webHidden/>
          </w:rPr>
          <w:t>10</w:t>
        </w:r>
        <w:r w:rsidR="00640A10">
          <w:rPr>
            <w:webHidden/>
          </w:rPr>
          <w:fldChar w:fldCharType="end"/>
        </w:r>
      </w:hyperlink>
    </w:p>
    <w:p w:rsidR="00640A10" w:rsidRDefault="00285E7C" w14:paraId="2057B2DB" w14:textId="54B22E2B">
      <w:pPr>
        <w:pStyle w:val="TOC2"/>
        <w:rPr>
          <w:rFonts w:eastAsiaTheme="minorEastAsia" w:cstheme="minorBidi"/>
          <w:spacing w:val="0"/>
          <w:sz w:val="22"/>
          <w:szCs w:val="22"/>
        </w:rPr>
      </w:pPr>
      <w:hyperlink w:history="1" w:anchor="_Toc148697959">
        <w:r w:rsidRPr="0034736F" w:rsidR="00640A10">
          <w:rPr>
            <w:rStyle w:val="Hyperlink"/>
          </w:rPr>
          <w:t>Tax treatment of property</w:t>
        </w:r>
        <w:r w:rsidR="00640A10">
          <w:rPr>
            <w:webHidden/>
          </w:rPr>
          <w:tab/>
        </w:r>
        <w:r w:rsidR="00640A10">
          <w:rPr>
            <w:webHidden/>
          </w:rPr>
          <w:fldChar w:fldCharType="begin"/>
        </w:r>
        <w:r w:rsidR="00640A10">
          <w:rPr>
            <w:webHidden/>
          </w:rPr>
          <w:instrText xml:space="preserve"> PAGEREF _Toc148697959 \h </w:instrText>
        </w:r>
        <w:r w:rsidR="00640A10">
          <w:rPr>
            <w:webHidden/>
          </w:rPr>
        </w:r>
        <w:r w:rsidR="00640A10">
          <w:rPr>
            <w:webHidden/>
          </w:rPr>
          <w:fldChar w:fldCharType="separate"/>
        </w:r>
        <w:r w:rsidR="00640A10">
          <w:rPr>
            <w:webHidden/>
          </w:rPr>
          <w:t>10</w:t>
        </w:r>
        <w:r w:rsidR="00640A10">
          <w:rPr>
            <w:webHidden/>
          </w:rPr>
          <w:fldChar w:fldCharType="end"/>
        </w:r>
      </w:hyperlink>
    </w:p>
    <w:p w:rsidR="00640A10" w:rsidRDefault="00285E7C" w14:paraId="5F7542D0" w14:textId="24EFC5FD">
      <w:pPr>
        <w:pStyle w:val="TOC1"/>
        <w:rPr>
          <w:rFonts w:eastAsiaTheme="minorEastAsia" w:cstheme="minorBidi"/>
          <w:b w:val="0"/>
          <w:color w:val="auto"/>
          <w:spacing w:val="0"/>
          <w:sz w:val="22"/>
          <w:szCs w:val="22"/>
        </w:rPr>
      </w:pPr>
      <w:hyperlink w:history="1" w:anchor="_Toc148697960">
        <w:r w:rsidRPr="0034736F" w:rsidR="00640A10">
          <w:rPr>
            <w:rStyle w:val="Hyperlink"/>
          </w:rPr>
          <w:t>Improving access to social and affordable housing in Geelong</w:t>
        </w:r>
        <w:r w:rsidR="00640A10">
          <w:rPr>
            <w:webHidden/>
          </w:rPr>
          <w:tab/>
        </w:r>
        <w:r w:rsidR="00640A10">
          <w:rPr>
            <w:webHidden/>
          </w:rPr>
          <w:fldChar w:fldCharType="begin"/>
        </w:r>
        <w:r w:rsidR="00640A10">
          <w:rPr>
            <w:webHidden/>
          </w:rPr>
          <w:instrText xml:space="preserve"> PAGEREF _Toc148697960 \h </w:instrText>
        </w:r>
        <w:r w:rsidR="00640A10">
          <w:rPr>
            <w:webHidden/>
          </w:rPr>
        </w:r>
        <w:r w:rsidR="00640A10">
          <w:rPr>
            <w:webHidden/>
          </w:rPr>
          <w:fldChar w:fldCharType="separate"/>
        </w:r>
        <w:r w:rsidR="00640A10">
          <w:rPr>
            <w:webHidden/>
          </w:rPr>
          <w:t>12</w:t>
        </w:r>
        <w:r w:rsidR="00640A10">
          <w:rPr>
            <w:webHidden/>
          </w:rPr>
          <w:fldChar w:fldCharType="end"/>
        </w:r>
      </w:hyperlink>
    </w:p>
    <w:p w:rsidR="00640A10" w:rsidRDefault="00285E7C" w14:paraId="30911BCD" w14:textId="1AE02DD5">
      <w:pPr>
        <w:pStyle w:val="TOC1"/>
        <w:rPr>
          <w:rFonts w:eastAsiaTheme="minorEastAsia" w:cstheme="minorBidi"/>
          <w:b w:val="0"/>
          <w:color w:val="auto"/>
          <w:spacing w:val="0"/>
          <w:sz w:val="22"/>
          <w:szCs w:val="22"/>
        </w:rPr>
      </w:pPr>
      <w:hyperlink w:history="1" w:anchor="_Toc148697961">
        <w:r w:rsidRPr="0034736F" w:rsidR="00640A10">
          <w:rPr>
            <w:rStyle w:val="Hyperlink"/>
          </w:rPr>
          <w:t>Planning system, housing and sustainability</w:t>
        </w:r>
        <w:r w:rsidR="00640A10">
          <w:rPr>
            <w:webHidden/>
          </w:rPr>
          <w:tab/>
        </w:r>
        <w:r w:rsidR="00640A10">
          <w:rPr>
            <w:webHidden/>
          </w:rPr>
          <w:fldChar w:fldCharType="begin"/>
        </w:r>
        <w:r w:rsidR="00640A10">
          <w:rPr>
            <w:webHidden/>
          </w:rPr>
          <w:instrText xml:space="preserve"> PAGEREF _Toc148697961 \h </w:instrText>
        </w:r>
        <w:r w:rsidR="00640A10">
          <w:rPr>
            <w:webHidden/>
          </w:rPr>
        </w:r>
        <w:r w:rsidR="00640A10">
          <w:rPr>
            <w:webHidden/>
          </w:rPr>
          <w:fldChar w:fldCharType="separate"/>
        </w:r>
        <w:r w:rsidR="00640A10">
          <w:rPr>
            <w:webHidden/>
          </w:rPr>
          <w:t>13</w:t>
        </w:r>
        <w:r w:rsidR="00640A10">
          <w:rPr>
            <w:webHidden/>
          </w:rPr>
          <w:fldChar w:fldCharType="end"/>
        </w:r>
      </w:hyperlink>
    </w:p>
    <w:p w:rsidR="00640A10" w:rsidRDefault="00285E7C" w14:paraId="49E45313" w14:textId="3B9EC505">
      <w:pPr>
        <w:pStyle w:val="TOC2"/>
        <w:rPr>
          <w:rFonts w:eastAsiaTheme="minorEastAsia" w:cstheme="minorBidi"/>
          <w:spacing w:val="0"/>
          <w:sz w:val="22"/>
          <w:szCs w:val="22"/>
        </w:rPr>
      </w:pPr>
      <w:hyperlink w:history="1" w:anchor="_Toc148697962">
        <w:r w:rsidRPr="0034736F" w:rsidR="00640A10">
          <w:rPr>
            <w:rStyle w:val="Hyperlink"/>
          </w:rPr>
          <w:t>Infrastructure planning and funding</w:t>
        </w:r>
        <w:r w:rsidR="00640A10">
          <w:rPr>
            <w:webHidden/>
          </w:rPr>
          <w:tab/>
        </w:r>
        <w:r w:rsidR="00640A10">
          <w:rPr>
            <w:webHidden/>
          </w:rPr>
          <w:fldChar w:fldCharType="begin"/>
        </w:r>
        <w:r w:rsidR="00640A10">
          <w:rPr>
            <w:webHidden/>
          </w:rPr>
          <w:instrText xml:space="preserve"> PAGEREF _Toc148697962 \h </w:instrText>
        </w:r>
        <w:r w:rsidR="00640A10">
          <w:rPr>
            <w:webHidden/>
          </w:rPr>
        </w:r>
        <w:r w:rsidR="00640A10">
          <w:rPr>
            <w:webHidden/>
          </w:rPr>
          <w:fldChar w:fldCharType="separate"/>
        </w:r>
        <w:r w:rsidR="00640A10">
          <w:rPr>
            <w:webHidden/>
          </w:rPr>
          <w:t>13</w:t>
        </w:r>
        <w:r w:rsidR="00640A10">
          <w:rPr>
            <w:webHidden/>
          </w:rPr>
          <w:fldChar w:fldCharType="end"/>
        </w:r>
      </w:hyperlink>
    </w:p>
    <w:p w:rsidR="00640A10" w:rsidRDefault="00285E7C" w14:paraId="5753E44E" w14:textId="4F288168">
      <w:pPr>
        <w:pStyle w:val="TOC2"/>
        <w:rPr>
          <w:rFonts w:eastAsiaTheme="minorEastAsia" w:cstheme="minorBidi"/>
          <w:spacing w:val="0"/>
          <w:sz w:val="22"/>
          <w:szCs w:val="22"/>
        </w:rPr>
      </w:pPr>
      <w:hyperlink w:history="1" w:anchor="_Toc148697963">
        <w:r w:rsidRPr="0034736F" w:rsidR="00640A10">
          <w:rPr>
            <w:rStyle w:val="Hyperlink"/>
          </w:rPr>
          <w:t>Responding to climate change</w:t>
        </w:r>
        <w:r w:rsidR="00640A10">
          <w:rPr>
            <w:webHidden/>
          </w:rPr>
          <w:tab/>
        </w:r>
        <w:r w:rsidR="00640A10">
          <w:rPr>
            <w:webHidden/>
          </w:rPr>
          <w:fldChar w:fldCharType="begin"/>
        </w:r>
        <w:r w:rsidR="00640A10">
          <w:rPr>
            <w:webHidden/>
          </w:rPr>
          <w:instrText xml:space="preserve"> PAGEREF _Toc148697963 \h </w:instrText>
        </w:r>
        <w:r w:rsidR="00640A10">
          <w:rPr>
            <w:webHidden/>
          </w:rPr>
        </w:r>
        <w:r w:rsidR="00640A10">
          <w:rPr>
            <w:webHidden/>
          </w:rPr>
          <w:fldChar w:fldCharType="separate"/>
        </w:r>
        <w:r w:rsidR="00640A10">
          <w:rPr>
            <w:webHidden/>
          </w:rPr>
          <w:t>14</w:t>
        </w:r>
        <w:r w:rsidR="00640A10">
          <w:rPr>
            <w:webHidden/>
          </w:rPr>
          <w:fldChar w:fldCharType="end"/>
        </w:r>
      </w:hyperlink>
    </w:p>
    <w:p w:rsidR="00640A10" w:rsidRDefault="00285E7C" w14:paraId="486A6D76" w14:textId="484718A9">
      <w:pPr>
        <w:pStyle w:val="TOC2"/>
        <w:rPr>
          <w:rFonts w:eastAsiaTheme="minorEastAsia" w:cstheme="minorBidi"/>
          <w:spacing w:val="0"/>
          <w:sz w:val="22"/>
          <w:szCs w:val="22"/>
        </w:rPr>
      </w:pPr>
      <w:hyperlink w:history="1" w:anchor="_Toc148697964">
        <w:r w:rsidRPr="0034736F" w:rsidR="00640A10">
          <w:rPr>
            <w:rStyle w:val="Hyperlink"/>
          </w:rPr>
          <w:t>Sustainability in Housing – case studies</w:t>
        </w:r>
        <w:r w:rsidR="00640A10">
          <w:rPr>
            <w:webHidden/>
          </w:rPr>
          <w:tab/>
        </w:r>
        <w:r w:rsidR="00640A10">
          <w:rPr>
            <w:webHidden/>
          </w:rPr>
          <w:fldChar w:fldCharType="begin"/>
        </w:r>
        <w:r w:rsidR="00640A10">
          <w:rPr>
            <w:webHidden/>
          </w:rPr>
          <w:instrText xml:space="preserve"> PAGEREF _Toc148697964 \h </w:instrText>
        </w:r>
        <w:r w:rsidR="00640A10">
          <w:rPr>
            <w:webHidden/>
          </w:rPr>
        </w:r>
        <w:r w:rsidR="00640A10">
          <w:rPr>
            <w:webHidden/>
          </w:rPr>
          <w:fldChar w:fldCharType="separate"/>
        </w:r>
        <w:r w:rsidR="00640A10">
          <w:rPr>
            <w:webHidden/>
          </w:rPr>
          <w:t>14</w:t>
        </w:r>
        <w:r w:rsidR="00640A10">
          <w:rPr>
            <w:webHidden/>
          </w:rPr>
          <w:fldChar w:fldCharType="end"/>
        </w:r>
      </w:hyperlink>
    </w:p>
    <w:p w:rsidR="00640A10" w:rsidRDefault="00285E7C" w14:paraId="35F61BA3" w14:textId="64A69182">
      <w:pPr>
        <w:pStyle w:val="TOC1"/>
        <w:rPr>
          <w:rFonts w:eastAsiaTheme="minorEastAsia" w:cstheme="minorBidi"/>
          <w:b w:val="0"/>
          <w:color w:val="auto"/>
          <w:spacing w:val="0"/>
          <w:sz w:val="22"/>
          <w:szCs w:val="22"/>
        </w:rPr>
      </w:pPr>
      <w:hyperlink w:history="1" w:anchor="_Toc148697965">
        <w:r w:rsidRPr="0034736F" w:rsidR="00640A10">
          <w:rPr>
            <w:rStyle w:val="Hyperlink"/>
          </w:rPr>
          <w:t>Supporting and reducing homelessness in Geelong</w:t>
        </w:r>
        <w:r w:rsidR="00640A10">
          <w:rPr>
            <w:webHidden/>
          </w:rPr>
          <w:tab/>
        </w:r>
        <w:r w:rsidR="00640A10">
          <w:rPr>
            <w:webHidden/>
          </w:rPr>
          <w:fldChar w:fldCharType="begin"/>
        </w:r>
        <w:r w:rsidR="00640A10">
          <w:rPr>
            <w:webHidden/>
          </w:rPr>
          <w:instrText xml:space="preserve"> PAGEREF _Toc148697965 \h </w:instrText>
        </w:r>
        <w:r w:rsidR="00640A10">
          <w:rPr>
            <w:webHidden/>
          </w:rPr>
        </w:r>
        <w:r w:rsidR="00640A10">
          <w:rPr>
            <w:webHidden/>
          </w:rPr>
          <w:fldChar w:fldCharType="separate"/>
        </w:r>
        <w:r w:rsidR="00640A10">
          <w:rPr>
            <w:webHidden/>
          </w:rPr>
          <w:t>16</w:t>
        </w:r>
        <w:r w:rsidR="00640A10">
          <w:rPr>
            <w:webHidden/>
          </w:rPr>
          <w:fldChar w:fldCharType="end"/>
        </w:r>
      </w:hyperlink>
    </w:p>
    <w:p w:rsidR="00640A10" w:rsidRDefault="00285E7C" w14:paraId="3D8F18E7" w14:textId="3EFCDAD9">
      <w:pPr>
        <w:pStyle w:val="TOC2"/>
        <w:rPr>
          <w:rFonts w:eastAsiaTheme="minorEastAsia" w:cstheme="minorBidi"/>
          <w:spacing w:val="0"/>
          <w:sz w:val="22"/>
          <w:szCs w:val="22"/>
        </w:rPr>
      </w:pPr>
      <w:hyperlink w:history="1" w:anchor="_Toc148697966">
        <w:r w:rsidRPr="0034736F" w:rsidR="00640A10">
          <w:rPr>
            <w:rStyle w:val="Hyperlink"/>
          </w:rPr>
          <w:t>City of Greater Geelong’s Effort in Homelessness and Rough Sleeping</w:t>
        </w:r>
        <w:r w:rsidR="00640A10">
          <w:rPr>
            <w:webHidden/>
          </w:rPr>
          <w:tab/>
        </w:r>
        <w:r w:rsidR="00640A10">
          <w:rPr>
            <w:webHidden/>
          </w:rPr>
          <w:fldChar w:fldCharType="begin"/>
        </w:r>
        <w:r w:rsidR="00640A10">
          <w:rPr>
            <w:webHidden/>
          </w:rPr>
          <w:instrText xml:space="preserve"> PAGEREF _Toc148697966 \h </w:instrText>
        </w:r>
        <w:r w:rsidR="00640A10">
          <w:rPr>
            <w:webHidden/>
          </w:rPr>
        </w:r>
        <w:r w:rsidR="00640A10">
          <w:rPr>
            <w:webHidden/>
          </w:rPr>
          <w:fldChar w:fldCharType="separate"/>
        </w:r>
        <w:r w:rsidR="00640A10">
          <w:rPr>
            <w:webHidden/>
          </w:rPr>
          <w:t>16</w:t>
        </w:r>
        <w:r w:rsidR="00640A10">
          <w:rPr>
            <w:webHidden/>
          </w:rPr>
          <w:fldChar w:fldCharType="end"/>
        </w:r>
      </w:hyperlink>
    </w:p>
    <w:p w:rsidR="00640A10" w:rsidRDefault="00285E7C" w14:paraId="35BB23D8" w14:textId="51BC8AED">
      <w:pPr>
        <w:pStyle w:val="TOC2"/>
        <w:rPr>
          <w:rFonts w:eastAsiaTheme="minorEastAsia" w:cstheme="minorBidi"/>
          <w:spacing w:val="0"/>
          <w:sz w:val="22"/>
          <w:szCs w:val="22"/>
        </w:rPr>
      </w:pPr>
      <w:hyperlink w:history="1" w:anchor="_Toc148697967">
        <w:r w:rsidRPr="0034736F" w:rsidR="00640A10">
          <w:rPr>
            <w:rStyle w:val="Hyperlink"/>
          </w:rPr>
          <w:t>Other Homelessness Support Agencies Providing Services within Geelong</w:t>
        </w:r>
        <w:r w:rsidR="00640A10">
          <w:rPr>
            <w:webHidden/>
          </w:rPr>
          <w:tab/>
        </w:r>
        <w:r w:rsidR="00640A10">
          <w:rPr>
            <w:webHidden/>
          </w:rPr>
          <w:fldChar w:fldCharType="begin"/>
        </w:r>
        <w:r w:rsidR="00640A10">
          <w:rPr>
            <w:webHidden/>
          </w:rPr>
          <w:instrText xml:space="preserve"> PAGEREF _Toc148697967 \h </w:instrText>
        </w:r>
        <w:r w:rsidR="00640A10">
          <w:rPr>
            <w:webHidden/>
          </w:rPr>
        </w:r>
        <w:r w:rsidR="00640A10">
          <w:rPr>
            <w:webHidden/>
          </w:rPr>
          <w:fldChar w:fldCharType="separate"/>
        </w:r>
        <w:r w:rsidR="00640A10">
          <w:rPr>
            <w:webHidden/>
          </w:rPr>
          <w:t>16</w:t>
        </w:r>
        <w:r w:rsidR="00640A10">
          <w:rPr>
            <w:webHidden/>
          </w:rPr>
          <w:fldChar w:fldCharType="end"/>
        </w:r>
      </w:hyperlink>
    </w:p>
    <w:p w:rsidR="00640A10" w:rsidRDefault="00285E7C" w14:paraId="675AEBB6" w14:textId="05764973">
      <w:pPr>
        <w:pStyle w:val="TOC1"/>
        <w:rPr>
          <w:rFonts w:eastAsiaTheme="minorEastAsia" w:cstheme="minorBidi"/>
          <w:b w:val="0"/>
          <w:color w:val="auto"/>
          <w:spacing w:val="0"/>
          <w:sz w:val="22"/>
          <w:szCs w:val="22"/>
        </w:rPr>
      </w:pPr>
      <w:hyperlink w:history="1" w:anchor="_Toc148697968">
        <w:r w:rsidRPr="0034736F" w:rsidR="00640A10">
          <w:rPr>
            <w:rStyle w:val="Hyperlink"/>
          </w:rPr>
          <w:t>HOUSING FOR ABORIGINAL AND TORRES STRAIT ISLANDERS</w:t>
        </w:r>
        <w:r w:rsidR="00640A10">
          <w:rPr>
            <w:webHidden/>
          </w:rPr>
          <w:tab/>
        </w:r>
        <w:r w:rsidR="00640A10">
          <w:rPr>
            <w:webHidden/>
          </w:rPr>
          <w:fldChar w:fldCharType="begin"/>
        </w:r>
        <w:r w:rsidR="00640A10">
          <w:rPr>
            <w:webHidden/>
          </w:rPr>
          <w:instrText xml:space="preserve"> PAGEREF _Toc148697968 \h </w:instrText>
        </w:r>
        <w:r w:rsidR="00640A10">
          <w:rPr>
            <w:webHidden/>
          </w:rPr>
        </w:r>
        <w:r w:rsidR="00640A10">
          <w:rPr>
            <w:webHidden/>
          </w:rPr>
          <w:fldChar w:fldCharType="separate"/>
        </w:r>
        <w:r w:rsidR="00640A10">
          <w:rPr>
            <w:webHidden/>
          </w:rPr>
          <w:t>19</w:t>
        </w:r>
        <w:r w:rsidR="00640A10">
          <w:rPr>
            <w:webHidden/>
          </w:rPr>
          <w:fldChar w:fldCharType="end"/>
        </w:r>
      </w:hyperlink>
    </w:p>
    <w:p w:rsidR="00640A10" w:rsidRDefault="00285E7C" w14:paraId="26118195" w14:textId="0DE6DCF4">
      <w:pPr>
        <w:pStyle w:val="TOC1"/>
        <w:rPr>
          <w:rFonts w:eastAsiaTheme="minorEastAsia" w:cstheme="minorBidi"/>
          <w:b w:val="0"/>
          <w:color w:val="auto"/>
          <w:spacing w:val="0"/>
          <w:sz w:val="22"/>
          <w:szCs w:val="22"/>
        </w:rPr>
      </w:pPr>
      <w:hyperlink w:history="1" w:anchor="_Toc148697969">
        <w:r w:rsidRPr="0034736F" w:rsidR="00640A10">
          <w:rPr>
            <w:rStyle w:val="Hyperlink"/>
            <w:caps/>
          </w:rPr>
          <w:t>References</w:t>
        </w:r>
        <w:r w:rsidR="00640A10">
          <w:rPr>
            <w:webHidden/>
          </w:rPr>
          <w:tab/>
        </w:r>
        <w:r w:rsidR="00640A10">
          <w:rPr>
            <w:webHidden/>
          </w:rPr>
          <w:fldChar w:fldCharType="begin"/>
        </w:r>
        <w:r w:rsidR="00640A10">
          <w:rPr>
            <w:webHidden/>
          </w:rPr>
          <w:instrText xml:space="preserve"> PAGEREF _Toc148697969 \h </w:instrText>
        </w:r>
        <w:r w:rsidR="00640A10">
          <w:rPr>
            <w:webHidden/>
          </w:rPr>
        </w:r>
        <w:r w:rsidR="00640A10">
          <w:rPr>
            <w:webHidden/>
          </w:rPr>
          <w:fldChar w:fldCharType="separate"/>
        </w:r>
        <w:r w:rsidR="00640A10">
          <w:rPr>
            <w:webHidden/>
          </w:rPr>
          <w:t>20</w:t>
        </w:r>
        <w:r w:rsidR="00640A10">
          <w:rPr>
            <w:webHidden/>
          </w:rPr>
          <w:fldChar w:fldCharType="end"/>
        </w:r>
      </w:hyperlink>
    </w:p>
    <w:p w:rsidR="3132676C" w:rsidP="3132676C" w:rsidRDefault="00E0258F" w14:paraId="20AA2F00" w14:textId="77CEF9A1">
      <w:pPr>
        <w:pStyle w:val="TOC2"/>
        <w:tabs>
          <w:tab w:val="clear" w:pos="5007"/>
          <w:tab w:val="right" w:leader="dot" w:pos="5010"/>
        </w:tabs>
        <w:rPr>
          <w:rStyle w:val="Hyperlink"/>
        </w:rPr>
      </w:pPr>
      <w:r>
        <w:fldChar w:fldCharType="end"/>
      </w:r>
    </w:p>
    <w:p w:rsidRPr="00D42E0F" w:rsidR="004D51B9" w:rsidP="00EC42AC" w:rsidRDefault="003969E3" w14:paraId="5F8C7D29" w14:textId="645B4604">
      <w:pPr>
        <w:pStyle w:val="TOFHeading"/>
      </w:pPr>
      <w:r>
        <w:br w:type="column"/>
      </w:r>
      <w:r w:rsidR="00D42E0F">
        <w:t>List of figures</w:t>
      </w:r>
    </w:p>
    <w:p w:rsidRPr="001F3CE2" w:rsidR="005949A6" w:rsidP="005949A6" w:rsidRDefault="005949A6" w14:paraId="523AF40B" w14:textId="77777777">
      <w:pPr>
        <w:pStyle w:val="BodyText"/>
      </w:pPr>
      <w:r w:rsidRPr="001F3CE2">
        <w:t>Map 1: Boundary of the City of Greater Geelong</w:t>
      </w:r>
    </w:p>
    <w:p w:rsidRPr="001F3CE2" w:rsidR="005949A6" w:rsidP="005949A6" w:rsidRDefault="005949A6" w14:paraId="67AA5D04" w14:textId="77777777">
      <w:r w:rsidRPr="001F3CE2">
        <w:t xml:space="preserve">Figure </w:t>
      </w:r>
      <w:r>
        <w:t>1</w:t>
      </w:r>
      <w:r w:rsidRPr="001F3CE2">
        <w:t>: Households type and Future Forecast (.id.2023)</w:t>
      </w:r>
    </w:p>
    <w:p w:rsidR="005949A6" w:rsidP="001F3CE2" w:rsidRDefault="005949A6" w14:paraId="410FEA45" w14:textId="77777777"/>
    <w:p w:rsidRPr="001F3CE2" w:rsidR="001F3CE2" w:rsidP="001F3CE2" w:rsidRDefault="00497F71" w14:paraId="350B8B83" w14:textId="4E560774">
      <w:r w:rsidRPr="001F3CE2">
        <w:fldChar w:fldCharType="begin"/>
      </w:r>
      <w:r w:rsidRPr="001F3CE2">
        <w:instrText>TOC \h \z \c "Figure"</w:instrText>
      </w:r>
      <w:r w:rsidRPr="001F3CE2">
        <w:fldChar w:fldCharType="separate"/>
      </w:r>
      <w:r w:rsidRPr="001F3CE2" w:rsidR="008634A1">
        <w:rPr>
          <w:rFonts w:cs="Arial"/>
          <w:noProof/>
          <w:lang w:val="en-US"/>
        </w:rPr>
        <w:t xml:space="preserve">Figure </w:t>
      </w:r>
      <w:r w:rsidR="005949A6">
        <w:rPr>
          <w:rFonts w:cs="Arial"/>
          <w:noProof/>
          <w:lang w:val="en-US"/>
        </w:rPr>
        <w:t>2</w:t>
      </w:r>
      <w:r w:rsidRPr="001F3CE2" w:rsidR="008634A1">
        <w:rPr>
          <w:rFonts w:cs="Arial"/>
          <w:noProof/>
          <w:lang w:val="en-US"/>
        </w:rPr>
        <w:t>: Framework for National Housing &amp; Homelessness Plan alignment with National Urban Policy</w:t>
      </w:r>
      <w:r w:rsidRPr="001F3CE2" w:rsidR="00BA0346">
        <w:rPr>
          <w:rFonts w:cs="Arial"/>
          <w:noProof/>
          <w:lang w:val="en-US"/>
        </w:rPr>
        <w:t>.</w:t>
      </w:r>
      <w:r w:rsidRPr="001F3CE2">
        <w:fldChar w:fldCharType="end"/>
      </w:r>
    </w:p>
    <w:p w:rsidRPr="001F3CE2" w:rsidR="001F3CE2" w:rsidP="001F3CE2" w:rsidRDefault="001F3CE2" w14:paraId="26CD2E4E" w14:textId="77777777"/>
    <w:p w:rsidRPr="001F3CE2" w:rsidR="001F3CE2" w:rsidP="001F3CE2" w:rsidRDefault="001F3CE2" w14:paraId="241A255A" w14:textId="77777777"/>
    <w:p w:rsidRPr="00440945" w:rsidR="00440945" w:rsidP="002A7D53" w:rsidRDefault="00440945" w14:paraId="1D747FEA" w14:textId="319100C9">
      <w:pPr>
        <w:rPr>
          <w:b/>
          <w:bCs/>
        </w:rPr>
      </w:pPr>
    </w:p>
    <w:p w:rsidR="00D42E0F" w:rsidP="002A7D53" w:rsidRDefault="00D42E0F" w14:paraId="2FFDD899" w14:textId="77777777">
      <w:pPr>
        <w:sectPr w:rsidR="00D42E0F" w:rsidSect="002A7D53">
          <w:pgSz w:w="11907" w:h="16840" w:orient="portrait" w:code="9"/>
          <w:pgMar w:top="2552" w:right="794" w:bottom="794" w:left="794" w:header="567" w:footer="340" w:gutter="0"/>
          <w:cols w:space="284" w:num="2"/>
          <w:docGrid w:linePitch="360"/>
        </w:sectPr>
      </w:pPr>
    </w:p>
    <w:p w:rsidR="005F4C53" w:rsidP="005F4C53" w:rsidRDefault="005F4C53" w14:paraId="386B2AAB" w14:textId="7563FCC8">
      <w:pPr>
        <w:pStyle w:val="Heading1"/>
        <w:framePr w:wrap="around"/>
      </w:pPr>
      <w:bookmarkStart w:name="_Toc2098946523" w:id="0"/>
      <w:bookmarkStart w:name="_Toc1130707263" w:id="1"/>
      <w:bookmarkStart w:name="_Toc1233619202" w:id="2"/>
      <w:bookmarkStart w:name="_Toc148697949" w:id="3"/>
      <w:r>
        <w:t>Executive summary</w:t>
      </w:r>
      <w:bookmarkEnd w:id="3"/>
    </w:p>
    <w:bookmarkEnd w:id="0"/>
    <w:bookmarkEnd w:id="1"/>
    <w:bookmarkEnd w:id="2"/>
    <w:p w:rsidR="00AD01F2" w:rsidP="6E0CEE57" w:rsidRDefault="6A79321A" w14:paraId="7ABE3041" w14:textId="77777777">
      <w:pPr>
        <w:pStyle w:val="BodyText"/>
      </w:pPr>
      <w:r w:rsidRPr="00612F2C">
        <w:t>A well-functioning system</w:t>
      </w:r>
      <w:r>
        <w:t xml:space="preserve"> of housing production is essential for the current and future generations in Australia. Housing is a basic </w:t>
      </w:r>
      <w:proofErr w:type="gramStart"/>
      <w:r>
        <w:t>need</w:t>
      </w:r>
      <w:proofErr w:type="gramEnd"/>
      <w:r>
        <w:t xml:space="preserve"> and it plays a vital role in health, wellbeing and economic participation. A sustainable system of housing production must be able to meet current needs without compromising the ability of future generation to meet their own needs. There is a significant risk to future generations if the issues of continuing trend rise in house prices, reduced affordability, dwindling demand supply, lack of housing diversity and lack of affordable housing continue to persist. </w:t>
      </w:r>
    </w:p>
    <w:p w:rsidR="00B67E4B" w:rsidP="00B67E4B" w:rsidRDefault="00B67E4B" w14:paraId="5778CE5B" w14:textId="77777777">
      <w:pPr>
        <w:pStyle w:val="BodyText"/>
      </w:pPr>
      <w:r>
        <w:t>There is an estimated current need of 5,000 social and affordable housing dwellings in Geelong (.id 2023 in ABS 2021) and will require 13,500 of all dwellings in 2041 to achieve the 7 per cent target (</w:t>
      </w:r>
      <w:proofErr w:type="spellStart"/>
      <w:r>
        <w:t>GoGG</w:t>
      </w:r>
      <w:proofErr w:type="spellEnd"/>
      <w:r>
        <w:t xml:space="preserve"> 2021). While the overall affordable housing need is increasing, people experiencing homelessness have increased from 743 to 1,533 in the 5 years between 2016 to 2021 which is at 51.5 per cent growth in the period. There are 636 homes required for young Aboriginal families (3-bedroom homes) in this region by 2041 (</w:t>
      </w:r>
      <w:proofErr w:type="spellStart"/>
      <w:r>
        <w:t>CoGG</w:t>
      </w:r>
      <w:proofErr w:type="spellEnd"/>
      <w:r>
        <w:t xml:space="preserve"> 2021). These are highlighted implications for lack of appropriate access within a wide spectrum of housing need, more acute towards the moderate to lower income households.</w:t>
      </w:r>
    </w:p>
    <w:p w:rsidR="00F25448" w:rsidP="6E0CEE57" w:rsidRDefault="00F25448" w14:paraId="4AC07880" w14:textId="77777777">
      <w:pPr>
        <w:pStyle w:val="BodyText"/>
      </w:pPr>
      <w:r>
        <w:t xml:space="preserve">The City of Greater Geelong is currently implementing its Social Housing Plan with strategies in Leadership, Planning, Investment and Partnerships and are actively negotiating with developers for inclusionary contribution through planning as well enabling partnerships in social housing developments (COGG, 2021). There is a significant gap to fill if the target of 7 per cent social housing is to be achieved by 2041 from the current 4 per cent, requiring approximately 20 -25 per cent of all Geelong’s future housing to be delivered as social and affordable housing. </w:t>
      </w:r>
    </w:p>
    <w:p w:rsidRPr="003749D4" w:rsidR="001F65EB" w:rsidP="6E0CEE57" w:rsidRDefault="50BDB910" w14:paraId="4ACC8D9D" w14:textId="74D69586">
      <w:pPr>
        <w:pStyle w:val="BodyText"/>
      </w:pPr>
      <w:r>
        <w:t xml:space="preserve">The National Housing and Homelessness Plan (NHHP) must consider all different policy development options for a </w:t>
      </w:r>
      <w:r w:rsidR="00B67E4B">
        <w:t>n</w:t>
      </w:r>
      <w:r>
        <w:t xml:space="preserve">ational </w:t>
      </w:r>
      <w:r w:rsidR="00B67E4B">
        <w:t>u</w:t>
      </w:r>
      <w:r>
        <w:t xml:space="preserve">rban </w:t>
      </w:r>
      <w:r w:rsidR="00B67E4B">
        <w:t>p</w:t>
      </w:r>
      <w:r>
        <w:t>olicy to balance the unintended consequences of monetary policies and tax settings</w:t>
      </w:r>
      <w:r w:rsidR="6651BFDC">
        <w:t xml:space="preserve"> at national level</w:t>
      </w:r>
      <w:r w:rsidR="0EFB7D06">
        <w:t xml:space="preserve"> to achieve its goal in</w:t>
      </w:r>
      <w:r w:rsidR="00C919F7">
        <w:t xml:space="preserve"> alleviating</w:t>
      </w:r>
      <w:r w:rsidR="0EFB7D06">
        <w:t xml:space="preserve"> housing affordability </w:t>
      </w:r>
      <w:r w:rsidR="00C919F7">
        <w:t>in local communities.</w:t>
      </w:r>
      <w:r w:rsidR="009E2A61">
        <w:t xml:space="preserve"> </w:t>
      </w:r>
    </w:p>
    <w:p w:rsidR="1E2591D7" w:rsidP="0F53A7A9" w:rsidRDefault="1E2591D7" w14:paraId="6F5E2B2F" w14:textId="59787580">
      <w:pPr>
        <w:pStyle w:val="BodyText"/>
      </w:pPr>
      <w:r>
        <w:t>At a macro level, housing affordability issues are complex and related to indirect causes such as growing population, supply and demand issues, planning, infrastructure, investments with taxation at all levels of government (NHSC 2010; Yates 2008). Monetary policies, such as raising interest rates have unintended consequences on house prices that affect demand and supply responsiveness from developers</w:t>
      </w:r>
      <w:r w:rsidR="2971D9B7">
        <w:t xml:space="preserve"> and end users</w:t>
      </w:r>
      <w:r>
        <w:t xml:space="preserve"> (Ong et.al 2017</w:t>
      </w:r>
      <w:r w:rsidR="6625D29D">
        <w:t>)</w:t>
      </w:r>
      <w:r w:rsidR="093F6730">
        <w:t>.</w:t>
      </w:r>
      <w:r>
        <w:t xml:space="preserve"> Housing prices </w:t>
      </w:r>
      <w:r w:rsidR="37DB531B">
        <w:t xml:space="preserve">for </w:t>
      </w:r>
      <w:r>
        <w:t xml:space="preserve">detached houses </w:t>
      </w:r>
      <w:r w:rsidR="37DB531B">
        <w:t xml:space="preserve">and in expensive areas </w:t>
      </w:r>
      <w:r>
        <w:t xml:space="preserve">are more cyclical and are more </w:t>
      </w:r>
      <w:r w:rsidR="37DB531B">
        <w:t>susceptible</w:t>
      </w:r>
      <w:r>
        <w:t xml:space="preserve"> to interest </w:t>
      </w:r>
      <w:r w:rsidR="37DB531B">
        <w:t xml:space="preserve">rate fluctuations compared to </w:t>
      </w:r>
      <w:r>
        <w:t xml:space="preserve">apartments and </w:t>
      </w:r>
      <w:r w:rsidR="37DB531B">
        <w:t xml:space="preserve">those in </w:t>
      </w:r>
      <w:r>
        <w:t>regional areas</w:t>
      </w:r>
      <w:r w:rsidR="37DB531B">
        <w:t>, which</w:t>
      </w:r>
      <w:r>
        <w:t xml:space="preserve"> tend to </w:t>
      </w:r>
      <w:r w:rsidR="37DB531B">
        <w:t xml:space="preserve">experience a </w:t>
      </w:r>
      <w:r>
        <w:t xml:space="preserve">less </w:t>
      </w:r>
      <w:r w:rsidR="37DB531B">
        <w:t xml:space="preserve">pronounced </w:t>
      </w:r>
      <w:r>
        <w:t>cyclical effect</w:t>
      </w:r>
      <w:r w:rsidR="37DB531B">
        <w:t>.</w:t>
      </w:r>
      <w:r>
        <w:t xml:space="preserve"> (RBA 2022, </w:t>
      </w:r>
      <w:proofErr w:type="spellStart"/>
      <w:r>
        <w:t>Corelogic</w:t>
      </w:r>
      <w:proofErr w:type="spellEnd"/>
      <w:r>
        <w:t xml:space="preserve"> 2022). </w:t>
      </w:r>
      <w:r w:rsidR="4A3A1B0C">
        <w:t>Despite being categori</w:t>
      </w:r>
      <w:r w:rsidR="00985447">
        <w:t>s</w:t>
      </w:r>
      <w:r w:rsidR="4A3A1B0C">
        <w:t>ed as a regional area, Geelong's housing market has experienced a remarkable surge, with median house prices skyrocketing by 88.5</w:t>
      </w:r>
      <w:r w:rsidR="004E60B2">
        <w:t xml:space="preserve"> per cent</w:t>
      </w:r>
      <w:r w:rsidR="4A3A1B0C">
        <w:t xml:space="preserve"> over the past decade, </w:t>
      </w:r>
      <w:r w:rsidR="56C3359C">
        <w:t>exceeding the Victorian regional average by 20</w:t>
      </w:r>
      <w:r w:rsidR="004E60B2">
        <w:t xml:space="preserve"> per cent</w:t>
      </w:r>
      <w:r w:rsidR="693AC048">
        <w:t xml:space="preserve"> (</w:t>
      </w:r>
      <w:r w:rsidR="7A4DC280">
        <w:t xml:space="preserve">REIV in </w:t>
      </w:r>
      <w:proofErr w:type="spellStart"/>
      <w:r w:rsidR="693AC048">
        <w:t>CoGG</w:t>
      </w:r>
      <w:proofErr w:type="spellEnd"/>
      <w:r w:rsidR="693AC048">
        <w:t xml:space="preserve"> 2023; </w:t>
      </w:r>
      <w:proofErr w:type="spellStart"/>
      <w:r w:rsidR="693AC048">
        <w:t>PropTrack</w:t>
      </w:r>
      <w:proofErr w:type="spellEnd"/>
      <w:r w:rsidR="2F5EB16C">
        <w:t xml:space="preserve"> in .id 2023</w:t>
      </w:r>
      <w:r w:rsidR="693AC048">
        <w:t>)</w:t>
      </w:r>
      <w:r w:rsidR="56C3359C">
        <w:t>. Rental prices have mirrored this trend, escalating by over 20</w:t>
      </w:r>
      <w:r w:rsidR="004E60B2">
        <w:t xml:space="preserve"> per cent</w:t>
      </w:r>
      <w:r w:rsidR="56C3359C">
        <w:t xml:space="preserve"> since 2020, adding to the affordability pressures</w:t>
      </w:r>
      <w:r w:rsidR="5CA86C81">
        <w:t xml:space="preserve"> on </w:t>
      </w:r>
      <w:r w:rsidR="56C3359C">
        <w:t>Geelong's communities</w:t>
      </w:r>
      <w:r w:rsidR="4A3A1B0C">
        <w:t>.</w:t>
      </w:r>
      <w:r w:rsidR="6CE3AF5D">
        <w:t xml:space="preserve"> </w:t>
      </w:r>
    </w:p>
    <w:p w:rsidRPr="003749D4" w:rsidR="00BD655C" w:rsidP="00BD655C" w:rsidRDefault="00BD655C" w14:paraId="121C49DD" w14:textId="77777777">
      <w:pPr>
        <w:pStyle w:val="BodyText"/>
      </w:pPr>
      <w:r w:rsidRPr="003749D4">
        <w:t xml:space="preserve">Planned intervention to increase supply of land from good land use planning policies alone will not be enough. A well-functioning system of housing production must have the ability to continue supplying housing based on need as an alternative that are ‘counter cyclical’ to the market housing delivery when demand (for both investors and owner occupiers) declines. </w:t>
      </w:r>
    </w:p>
    <w:p w:rsidR="001F65EB" w:rsidP="001F65EB" w:rsidRDefault="3DB76567" w14:paraId="17807956" w14:textId="287E00FE">
      <w:pPr>
        <w:pStyle w:val="BodyText"/>
      </w:pPr>
      <w:r>
        <w:t xml:space="preserve">Delivery of housing supply based on need, parallel to the private housing market system can provide stability to the overall housing market and its supply chain. For this, consistent funding and financing are required </w:t>
      </w:r>
      <w:r w:rsidR="000A2B20">
        <w:t>and the substantial increase in housing delivered could be facilitated through the creation of a special entity</w:t>
      </w:r>
      <w:r>
        <w:t xml:space="preserve"> that invest</w:t>
      </w:r>
      <w:r w:rsidR="000A2B20">
        <w:t>s</w:t>
      </w:r>
      <w:r>
        <w:t xml:space="preserve"> in land, infrastructure at state or local level to capture the demand based on housing need and enabling supply that meets the objectives of a national urban policy as well as state</w:t>
      </w:r>
      <w:r w:rsidR="005F7796">
        <w:t xml:space="preserve"> and </w:t>
      </w:r>
      <w:r>
        <w:t>local planning objectives.</w:t>
      </w:r>
    </w:p>
    <w:p w:rsidRPr="003749D4" w:rsidR="00363B0D" w:rsidP="00363B0D" w:rsidRDefault="00363B0D" w14:paraId="4254C5DC" w14:textId="74B3F5AB">
      <w:pPr>
        <w:pStyle w:val="BodyText"/>
      </w:pPr>
      <w:r>
        <w:t>F</w:t>
      </w:r>
      <w:r w:rsidRPr="003749D4">
        <w:t xml:space="preserve">ederal funding to enable land and infrastructure opportunities for housing </w:t>
      </w:r>
      <w:r w:rsidR="00736ECF">
        <w:t>c</w:t>
      </w:r>
      <w:r>
        <w:t>ould</w:t>
      </w:r>
      <w:r w:rsidRPr="003749D4">
        <w:t xml:space="preserve"> be channelled through state and local funding agreements that </w:t>
      </w:r>
      <w:r>
        <w:t>are</w:t>
      </w:r>
      <w:r w:rsidRPr="003749D4">
        <w:t xml:space="preserve"> linked </w:t>
      </w:r>
      <w:r>
        <w:t xml:space="preserve">to </w:t>
      </w:r>
      <w:r w:rsidRPr="003749D4">
        <w:t>requirements and outcomes that support a range of housing led initiatives:</w:t>
      </w:r>
    </w:p>
    <w:p w:rsidRPr="003749D4" w:rsidR="00363B0D" w:rsidP="00363B0D" w:rsidRDefault="00363B0D" w14:paraId="493766CF" w14:textId="77777777">
      <w:pPr>
        <w:pStyle w:val="ListBullet"/>
        <w:numPr>
          <w:ilvl w:val="0"/>
          <w:numId w:val="1"/>
        </w:numPr>
      </w:pPr>
      <w:r w:rsidRPr="003749D4">
        <w:t>Requirement to set targets for housing, including affordable housing.</w:t>
      </w:r>
    </w:p>
    <w:p w:rsidRPr="003749D4" w:rsidR="00363B0D" w:rsidP="00363B0D" w:rsidRDefault="00363B0D" w14:paraId="6D6FDD87" w14:textId="77777777">
      <w:pPr>
        <w:pStyle w:val="ListBullet"/>
        <w:numPr>
          <w:ilvl w:val="0"/>
          <w:numId w:val="1"/>
        </w:numPr>
      </w:pPr>
      <w:r w:rsidRPr="003749D4">
        <w:t>Setting a vehicle or entity that increase supply of land, infrastructure for more opportunities in housing.</w:t>
      </w:r>
    </w:p>
    <w:p w:rsidRPr="003749D4" w:rsidR="00363B0D" w:rsidP="00363B0D" w:rsidRDefault="00363B0D" w14:paraId="77926512" w14:textId="77777777">
      <w:pPr>
        <w:pStyle w:val="ListBullet"/>
        <w:numPr>
          <w:ilvl w:val="0"/>
          <w:numId w:val="1"/>
        </w:numPr>
      </w:pPr>
      <w:r w:rsidRPr="003749D4">
        <w:t>Land supply and infrastructure requirements to meet housing targets and increase housing affordability.</w:t>
      </w:r>
    </w:p>
    <w:p w:rsidRPr="003749D4" w:rsidR="00363B0D" w:rsidP="00363B0D" w:rsidRDefault="00363B0D" w14:paraId="463C6C6F" w14:textId="77777777">
      <w:pPr>
        <w:pStyle w:val="ListBullet"/>
        <w:numPr>
          <w:ilvl w:val="0"/>
          <w:numId w:val="1"/>
        </w:numPr>
      </w:pPr>
      <w:r w:rsidRPr="003749D4">
        <w:t xml:space="preserve">Specific projects that </w:t>
      </w:r>
      <w:r>
        <w:t>deliver</w:t>
      </w:r>
      <w:r w:rsidRPr="003749D4">
        <w:t xml:space="preserve"> more social and affordable housing, meeting national policy objectives.</w:t>
      </w:r>
    </w:p>
    <w:p w:rsidRPr="003749D4" w:rsidR="00363B0D" w:rsidP="00363B0D" w:rsidRDefault="00363B0D" w14:paraId="1718B2C5" w14:textId="77777777">
      <w:pPr>
        <w:pStyle w:val="ListBullet"/>
        <w:numPr>
          <w:ilvl w:val="0"/>
          <w:numId w:val="1"/>
        </w:numPr>
      </w:pPr>
      <w:r w:rsidRPr="003749D4">
        <w:t>Fund innovation in developing alternative housing</w:t>
      </w:r>
      <w:r>
        <w:t xml:space="preserve"> and sustainable development</w:t>
      </w:r>
      <w:r w:rsidRPr="003749D4">
        <w:t>.</w:t>
      </w:r>
    </w:p>
    <w:p w:rsidRPr="003749D4" w:rsidR="00363B0D" w:rsidP="00363B0D" w:rsidRDefault="00363B0D" w14:paraId="298EFE3E" w14:textId="77777777">
      <w:pPr>
        <w:pStyle w:val="ListBullet"/>
        <w:numPr>
          <w:ilvl w:val="0"/>
          <w:numId w:val="1"/>
        </w:numPr>
      </w:pPr>
      <w:r w:rsidRPr="003749D4">
        <w:t>Homelessness prevention</w:t>
      </w:r>
    </w:p>
    <w:p w:rsidRPr="003749D4" w:rsidR="00363B0D" w:rsidP="00363B0D" w:rsidRDefault="00363B0D" w14:paraId="6DBC5FB8" w14:textId="0F7111CF">
      <w:pPr>
        <w:pStyle w:val="ListBullet"/>
        <w:numPr>
          <w:ilvl w:val="0"/>
          <w:numId w:val="1"/>
        </w:numPr>
      </w:pPr>
      <w:r w:rsidRPr="003749D4">
        <w:t>Aboriginal housing provision</w:t>
      </w:r>
      <w:r w:rsidRPr="00862700">
        <w:t xml:space="preserve"> </w:t>
      </w:r>
    </w:p>
    <w:p w:rsidRPr="003749D4" w:rsidR="001F65EB" w:rsidP="001F65EB" w:rsidRDefault="00CF3D37" w14:paraId="037A2DE0" w14:textId="70A6CB37">
      <w:pPr>
        <w:pStyle w:val="BodyText"/>
      </w:pPr>
      <w:r>
        <w:t>A</w:t>
      </w:r>
      <w:r w:rsidR="0773E3F6">
        <w:t xml:space="preserve"> </w:t>
      </w:r>
      <w:r w:rsidR="00B67E4B">
        <w:t>n</w:t>
      </w:r>
      <w:r w:rsidR="0773E3F6">
        <w:t xml:space="preserve">ational </w:t>
      </w:r>
      <w:r w:rsidR="00B67E4B">
        <w:t>u</w:t>
      </w:r>
      <w:r w:rsidR="0773E3F6">
        <w:t xml:space="preserve">rban </w:t>
      </w:r>
      <w:r w:rsidR="00B67E4B">
        <w:t>p</w:t>
      </w:r>
      <w:r w:rsidR="0773E3F6">
        <w:t xml:space="preserve">olicy </w:t>
      </w:r>
      <w:r w:rsidR="000B5B3D">
        <w:t>should</w:t>
      </w:r>
      <w:r w:rsidR="0773E3F6">
        <w:t xml:space="preserve"> streamline objectives at </w:t>
      </w:r>
      <w:r w:rsidR="00A75BF5">
        <w:t xml:space="preserve">the </w:t>
      </w:r>
      <w:r w:rsidR="0773E3F6">
        <w:t xml:space="preserve">national level </w:t>
      </w:r>
      <w:r w:rsidR="000B5B3D">
        <w:t>on</w:t>
      </w:r>
      <w:r w:rsidR="0773E3F6">
        <w:t xml:space="preserve"> housing affordability, climate targets, </w:t>
      </w:r>
      <w:r w:rsidR="00F05B11">
        <w:t xml:space="preserve">sustainable </w:t>
      </w:r>
      <w:r w:rsidR="0773E3F6">
        <w:t xml:space="preserve">transport, </w:t>
      </w:r>
      <w:proofErr w:type="gramStart"/>
      <w:r w:rsidR="0773E3F6">
        <w:t>infrastructure</w:t>
      </w:r>
      <w:proofErr w:type="gramEnd"/>
      <w:r w:rsidR="0773E3F6">
        <w:t xml:space="preserve"> and denser urban development objectives that can be translated into state and local level planning outcomes</w:t>
      </w:r>
      <w:r w:rsidR="003E494F">
        <w:t xml:space="preserve">. </w:t>
      </w:r>
      <w:r w:rsidR="0773E3F6">
        <w:t>The NHHP needs to have realistic expectations for demand and supply side interventions to find alignment between monetary policies, tax reform along with a national urban policy translated into local planning delivery</w:t>
      </w:r>
      <w:r w:rsidR="000F6121">
        <w:t xml:space="preserve">. </w:t>
      </w:r>
    </w:p>
    <w:p w:rsidR="002211DD" w:rsidP="6E0CEE57" w:rsidRDefault="68E4CFA3" w14:paraId="6E652F5C" w14:textId="77777777">
      <w:pPr>
        <w:pStyle w:val="BodyText"/>
      </w:pPr>
      <w:r>
        <w:t>A national urban policy</w:t>
      </w:r>
      <w:r w:rsidR="273B60DD">
        <w:t xml:space="preserve"> </w:t>
      </w:r>
      <w:r w:rsidR="2A50F914">
        <w:t xml:space="preserve">must </w:t>
      </w:r>
      <w:r w:rsidR="273B60DD">
        <w:t>con</w:t>
      </w:r>
      <w:r w:rsidR="718499E0">
        <w:t>sist of</w:t>
      </w:r>
      <w:r w:rsidR="2A50F914">
        <w:t xml:space="preserve"> a framework that guide</w:t>
      </w:r>
      <w:r w:rsidR="002211DD">
        <w:t>s</w:t>
      </w:r>
      <w:r w:rsidR="2A50F914">
        <w:t xml:space="preserve"> housing developments toward sustainable outcomes and achieve national objectives in reducing greenhouse emissions, such as through net zero initiatives that are planned at neighbourhood scale. </w:t>
      </w:r>
    </w:p>
    <w:p w:rsidR="2A50F914" w:rsidP="6E0CEE57" w:rsidRDefault="2A50F914" w14:paraId="38EEFF24" w14:textId="6FB42E68">
      <w:pPr>
        <w:pStyle w:val="BodyText"/>
      </w:pPr>
      <w:r>
        <w:t xml:space="preserve">Planning for sustainability at a neighbourhood scale provides opportunity for integration and assessment with other aspects in planning such as density, </w:t>
      </w:r>
      <w:proofErr w:type="gramStart"/>
      <w:r>
        <w:t>infrastructure</w:t>
      </w:r>
      <w:proofErr w:type="gramEnd"/>
      <w:r>
        <w:t xml:space="preserve"> and transport with economies of scale for a decentralised system (</w:t>
      </w:r>
      <w:proofErr w:type="spellStart"/>
      <w:r>
        <w:t>Duhr</w:t>
      </w:r>
      <w:proofErr w:type="spellEnd"/>
      <w:r>
        <w:t xml:space="preserve"> et al 2023) that support energy efficiency and renewable energy in home networks. Institutional governance can then guide interactions and engagement with communities to achieve social sustainability while aiming to achieve the national policy goals such as climate targets. </w:t>
      </w:r>
    </w:p>
    <w:p w:rsidR="001F65EB" w:rsidP="001F65EB" w:rsidRDefault="001F65EB" w14:paraId="10B0AB7C" w14:textId="1141D7C4">
      <w:pPr>
        <w:pStyle w:val="BodyText"/>
      </w:pPr>
      <w:r w:rsidRPr="003749D4">
        <w:t xml:space="preserve">We need </w:t>
      </w:r>
      <w:r w:rsidR="073A8FB0">
        <w:t>urban</w:t>
      </w:r>
      <w:r>
        <w:t xml:space="preserve"> </w:t>
      </w:r>
      <w:r w:rsidRPr="003749D4">
        <w:t xml:space="preserve">policies that </w:t>
      </w:r>
      <w:r w:rsidR="1EE5ACA6">
        <w:t>align with</w:t>
      </w:r>
      <w:r w:rsidR="6E4D37BA">
        <w:t xml:space="preserve"> funding</w:t>
      </w:r>
      <w:r>
        <w:t xml:space="preserve"> </w:t>
      </w:r>
      <w:r w:rsidR="39E1F85D">
        <w:t>to deliver infrastructure and amenities that</w:t>
      </w:r>
      <w:r>
        <w:t xml:space="preserve"> </w:t>
      </w:r>
      <w:r w:rsidRPr="003749D4">
        <w:t xml:space="preserve">respond to the different housing needs </w:t>
      </w:r>
      <w:r w:rsidR="78305A1B">
        <w:t>within</w:t>
      </w:r>
      <w:r w:rsidRPr="003749D4">
        <w:t xml:space="preserve"> our communities, including provision of affordable housing. Unless the National Housing and Homelessness Plan aligns monetary policy and tax reform with a national urban policy to achieve a well-functioning system of housing production, </w:t>
      </w:r>
      <w:r w:rsidR="30F86151">
        <w:t>affordability</w:t>
      </w:r>
      <w:r w:rsidR="49622C10">
        <w:t xml:space="preserve"> </w:t>
      </w:r>
      <w:r w:rsidR="0E4B501E">
        <w:t>issues</w:t>
      </w:r>
      <w:r w:rsidRPr="003749D4">
        <w:t xml:space="preserve"> will perpetuate and become more difficult to mitigate for our future generation.</w:t>
      </w:r>
    </w:p>
    <w:p w:rsidR="008D0D84" w:rsidP="008D0D84" w:rsidRDefault="008D0D84" w14:paraId="357E61E4" w14:textId="77777777">
      <w:pPr>
        <w:pStyle w:val="BodyText"/>
      </w:pPr>
      <w:bookmarkStart w:name="EndPasteHere" w:id="4"/>
      <w:bookmarkEnd w:id="4"/>
      <w:r>
        <w:t>Streamlining national urban policy and the housing plan with funding will increase opportunities and improve housing outcomes in the Geelong but these alone will not be enough to tackle the issue of homelessness.</w:t>
      </w:r>
    </w:p>
    <w:p w:rsidR="008D0D84" w:rsidP="008D0D84" w:rsidRDefault="008D0D84" w14:paraId="4C7E3561" w14:textId="77777777">
      <w:pPr>
        <w:rPr>
          <w:rFonts w:ascii="Arial" w:hAnsi="Arial" w:eastAsia="Arial" w:cs="Arial"/>
        </w:rPr>
      </w:pPr>
      <w:r w:rsidRPr="2A3C5B2F">
        <w:rPr>
          <w:rFonts w:ascii="Arial" w:hAnsi="Arial" w:eastAsia="Arial" w:cs="Arial"/>
        </w:rPr>
        <w:t xml:space="preserve">In 2022-23, the federal government had provided $1.6 billion through the National Housing and Homelessness Agreement (NHHA) to the states and territories to focus on four key areas prevention, early intervention, transitional </w:t>
      </w:r>
      <w:proofErr w:type="gramStart"/>
      <w:r w:rsidRPr="2A3C5B2F">
        <w:rPr>
          <w:rFonts w:ascii="Arial" w:hAnsi="Arial" w:eastAsia="Arial" w:cs="Arial"/>
        </w:rPr>
        <w:t>housing</w:t>
      </w:r>
      <w:proofErr w:type="gramEnd"/>
      <w:r w:rsidRPr="2A3C5B2F">
        <w:rPr>
          <w:rFonts w:ascii="Arial" w:hAnsi="Arial" w:eastAsia="Arial" w:cs="Arial"/>
        </w:rPr>
        <w:t xml:space="preserve"> and supportive housing.  </w:t>
      </w:r>
      <w:r w:rsidRPr="181883BF">
        <w:rPr>
          <w:rFonts w:ascii="Arial" w:hAnsi="Arial" w:eastAsia="Arial" w:cs="Arial"/>
        </w:rPr>
        <w:t>Our service agencies prioriti</w:t>
      </w:r>
      <w:r>
        <w:rPr>
          <w:rFonts w:ascii="Arial" w:hAnsi="Arial" w:eastAsia="Arial" w:cs="Arial"/>
        </w:rPr>
        <w:t>s</w:t>
      </w:r>
      <w:r w:rsidRPr="181883BF">
        <w:rPr>
          <w:rFonts w:ascii="Arial" w:hAnsi="Arial" w:eastAsia="Arial" w:cs="Arial"/>
        </w:rPr>
        <w:t>e the allocation of funds toward</w:t>
      </w:r>
      <w:r w:rsidRPr="2A3C5B2F">
        <w:rPr>
          <w:rFonts w:ascii="Arial" w:hAnsi="Arial" w:eastAsia="Arial" w:cs="Arial"/>
        </w:rPr>
        <w:t xml:space="preserve"> prevention </w:t>
      </w:r>
      <w:r w:rsidRPr="181883BF">
        <w:rPr>
          <w:rFonts w:ascii="Arial" w:hAnsi="Arial" w:eastAsia="Arial" w:cs="Arial"/>
        </w:rPr>
        <w:t>and</w:t>
      </w:r>
      <w:r w:rsidRPr="2A3C5B2F">
        <w:rPr>
          <w:rFonts w:ascii="Arial" w:hAnsi="Arial" w:eastAsia="Arial" w:cs="Arial"/>
        </w:rPr>
        <w:t xml:space="preserve"> early intervention programs </w:t>
      </w:r>
      <w:r w:rsidRPr="181883BF">
        <w:rPr>
          <w:rFonts w:ascii="Arial" w:hAnsi="Arial" w:eastAsia="Arial" w:cs="Arial"/>
        </w:rPr>
        <w:t xml:space="preserve">that </w:t>
      </w:r>
      <w:r w:rsidRPr="2A3C5B2F">
        <w:rPr>
          <w:rFonts w:ascii="Arial" w:hAnsi="Arial" w:eastAsia="Arial" w:cs="Arial"/>
        </w:rPr>
        <w:t xml:space="preserve">address </w:t>
      </w:r>
      <w:r w:rsidRPr="181883BF">
        <w:rPr>
          <w:rFonts w:ascii="Arial" w:hAnsi="Arial" w:eastAsia="Arial" w:cs="Arial"/>
        </w:rPr>
        <w:t xml:space="preserve">the root </w:t>
      </w:r>
      <w:r w:rsidRPr="2A3C5B2F">
        <w:rPr>
          <w:rFonts w:ascii="Arial" w:hAnsi="Arial" w:eastAsia="Arial" w:cs="Arial"/>
        </w:rPr>
        <w:t>causes of homelessness</w:t>
      </w:r>
      <w:r w:rsidRPr="181883BF">
        <w:rPr>
          <w:rFonts w:ascii="Arial" w:hAnsi="Arial" w:eastAsia="Arial" w:cs="Arial"/>
        </w:rPr>
        <w:t>. Additionally, we advocate</w:t>
      </w:r>
      <w:r w:rsidRPr="6E0CEE57">
        <w:rPr>
          <w:rFonts w:ascii="Arial" w:hAnsi="Arial" w:eastAsia="Arial" w:cs="Arial"/>
        </w:rPr>
        <w:t xml:space="preserve"> for </w:t>
      </w:r>
      <w:r w:rsidRPr="2A3C5B2F">
        <w:rPr>
          <w:rFonts w:ascii="Arial" w:hAnsi="Arial" w:eastAsia="Arial" w:cs="Arial"/>
        </w:rPr>
        <w:t xml:space="preserve">a </w:t>
      </w:r>
      <w:r w:rsidRPr="181883BF">
        <w:rPr>
          <w:rFonts w:ascii="Arial" w:hAnsi="Arial" w:eastAsia="Arial" w:cs="Arial"/>
        </w:rPr>
        <w:t xml:space="preserve">comprehensive </w:t>
      </w:r>
      <w:r w:rsidRPr="2A3C5B2F">
        <w:rPr>
          <w:rFonts w:ascii="Arial" w:hAnsi="Arial" w:eastAsia="Arial" w:cs="Arial"/>
        </w:rPr>
        <w:t xml:space="preserve">study </w:t>
      </w:r>
      <w:r w:rsidRPr="181883BF">
        <w:rPr>
          <w:rFonts w:ascii="Arial" w:hAnsi="Arial" w:eastAsia="Arial" w:cs="Arial"/>
        </w:rPr>
        <w:t>to investigate</w:t>
      </w:r>
      <w:r w:rsidRPr="2A3C5B2F">
        <w:rPr>
          <w:rFonts w:ascii="Arial" w:hAnsi="Arial" w:eastAsia="Arial" w:cs="Arial"/>
        </w:rPr>
        <w:t xml:space="preserve"> the unmet </w:t>
      </w:r>
      <w:r w:rsidRPr="181883BF">
        <w:rPr>
          <w:rFonts w:ascii="Arial" w:hAnsi="Arial" w:eastAsia="Arial" w:cs="Arial"/>
        </w:rPr>
        <w:t>needs of those experiencing homelessness, enabling</w:t>
      </w:r>
      <w:r w:rsidRPr="2A3C5B2F">
        <w:rPr>
          <w:rFonts w:ascii="Arial" w:hAnsi="Arial" w:eastAsia="Arial" w:cs="Arial"/>
        </w:rPr>
        <w:t xml:space="preserve"> support</w:t>
      </w:r>
      <w:r w:rsidRPr="6E0CEE57">
        <w:rPr>
          <w:rFonts w:ascii="Arial" w:hAnsi="Arial" w:eastAsia="Arial" w:cs="Arial"/>
        </w:rPr>
        <w:t xml:space="preserve"> </w:t>
      </w:r>
      <w:r w:rsidRPr="181883BF">
        <w:rPr>
          <w:rFonts w:ascii="Arial" w:hAnsi="Arial" w:eastAsia="Arial" w:cs="Arial"/>
        </w:rPr>
        <w:t>agencies to tailor their support services. These measures</w:t>
      </w:r>
      <w:r w:rsidRPr="0F53A7A9">
        <w:rPr>
          <w:rFonts w:ascii="Arial" w:hAnsi="Arial" w:eastAsia="Arial" w:cs="Arial"/>
        </w:rPr>
        <w:t xml:space="preserve"> include</w:t>
      </w:r>
      <w:r w:rsidRPr="2A3C5B2F">
        <w:rPr>
          <w:rFonts w:ascii="Arial" w:hAnsi="Arial" w:eastAsia="Arial" w:cs="Arial"/>
        </w:rPr>
        <w:t xml:space="preserve"> stocktake of current services, to determine the level of funding required to meet the needs of people experiencing homelessness. The next agreement should include clear roles and responsibilities, with endorsed set of principles for improving outcomes across tenure types and single base funding pool for housing and homelessness services that is allocated to jurisdictions according to need and the costs of providing services.</w:t>
      </w:r>
    </w:p>
    <w:p w:rsidR="005F4C53" w:rsidP="005F4C53" w:rsidRDefault="005F4C53" w14:paraId="6DDE97A9" w14:textId="08FF37CF">
      <w:pPr>
        <w:pStyle w:val="BodyText"/>
      </w:pPr>
    </w:p>
    <w:p w:rsidRPr="00F04DED" w:rsidR="005F4C53" w:rsidP="005F4C53" w:rsidRDefault="005F4C53" w14:paraId="0F6D0F48" w14:textId="77777777">
      <w:pPr>
        <w:pStyle w:val="BodyText"/>
      </w:pPr>
    </w:p>
    <w:p w:rsidR="005F4C53" w:rsidP="00DE1829" w:rsidRDefault="005F4C53" w14:paraId="29037500" w14:textId="77777777">
      <w:pPr>
        <w:pStyle w:val="BodyText"/>
        <w:rPr>
          <w:rFonts w:eastAsiaTheme="minorEastAsia"/>
          <w:b/>
        </w:rPr>
      </w:pPr>
    </w:p>
    <w:p w:rsidRPr="00F1081A" w:rsidR="00F9317F" w:rsidP="00F9317F" w:rsidRDefault="00F9317F" w14:paraId="6433F1E5" w14:textId="12B84975">
      <w:pPr>
        <w:pStyle w:val="Heading1"/>
        <w:framePr w:wrap="around"/>
        <w:rPr>
          <w:rFonts w:eastAsiaTheme="minorEastAsia"/>
        </w:rPr>
      </w:pPr>
      <w:bookmarkStart w:name="_Toc1920628837" w:id="5"/>
      <w:bookmarkStart w:name="_Toc1450630601" w:id="6"/>
      <w:bookmarkStart w:name="_Toc1203799789" w:id="7"/>
      <w:bookmarkStart w:name="_Toc148697950" w:id="8"/>
      <w:r>
        <w:rPr>
          <w:rFonts w:eastAsiaTheme="minorEastAsia"/>
        </w:rPr>
        <w:t>Introduction</w:t>
      </w:r>
      <w:bookmarkEnd w:id="5"/>
      <w:bookmarkEnd w:id="6"/>
      <w:bookmarkEnd w:id="7"/>
      <w:bookmarkEnd w:id="8"/>
    </w:p>
    <w:p w:rsidRPr="00F1081A" w:rsidR="00F9317F" w:rsidP="00F9317F" w:rsidRDefault="00F9317F" w14:paraId="37D3C166" w14:textId="108958C2">
      <w:pPr>
        <w:pStyle w:val="BodyText"/>
      </w:pPr>
      <w:r w:rsidRPr="00F1081A">
        <w:t xml:space="preserve">The City of Greater Geelong is Victoria’s largest regional municipality and the primary service and employment hub for the </w:t>
      </w:r>
      <w:r w:rsidR="000A5FD7">
        <w:t>r</w:t>
      </w:r>
      <w:r w:rsidRPr="00F1081A">
        <w:t>egion. The </w:t>
      </w:r>
      <w:proofErr w:type="spellStart"/>
      <w:r w:rsidRPr="00F1081A">
        <w:t>Wadawurrung</w:t>
      </w:r>
      <w:proofErr w:type="spellEnd"/>
      <w:r w:rsidRPr="00F1081A">
        <w:t> are the Traditional Owners of the land where the City of Greater Geelong is located.</w:t>
      </w:r>
    </w:p>
    <w:p w:rsidRPr="00F1081A" w:rsidR="00F9317F" w:rsidP="00F9317F" w:rsidRDefault="00F9317F" w14:paraId="51AF2C69" w14:textId="59C6ECD8">
      <w:pPr>
        <w:pStyle w:val="BodyText"/>
      </w:pPr>
      <w:r w:rsidRPr="00F1081A">
        <w:t>Located 75 kilometres south-west of Melbourne, the municipality covers an area of 1,252 square kilometres comprising suburban, coastal, and country areas. </w:t>
      </w:r>
      <w:r w:rsidR="1A22509F">
        <w:t xml:space="preserve"> Map 1 shows the boundary of the </w:t>
      </w:r>
      <w:proofErr w:type="gramStart"/>
      <w:r w:rsidR="1A22509F">
        <w:t>City</w:t>
      </w:r>
      <w:proofErr w:type="gramEnd"/>
      <w:r w:rsidR="1A22509F">
        <w:t xml:space="preserve"> and local areas within it.</w:t>
      </w:r>
    </w:p>
    <w:p w:rsidRPr="00F1081A" w:rsidR="00F9317F" w:rsidP="00F9317F" w:rsidRDefault="00F9317F" w14:paraId="4847A77D" w14:textId="77777777">
      <w:pPr>
        <w:pStyle w:val="BodyText"/>
      </w:pPr>
      <w:r w:rsidRPr="00F1081A">
        <w:t xml:space="preserve">The Census usual resident population of the City of Greater Geelong in 2021 was 271,057, living in 120,825 dwellings with an average household size of 2.41. Geelong’s population is expected to grow by an estimated 30% to 360,245 in the next 15 years. Forecast number of dwellings is estimated to grow from 120,587 in 2021 to </w:t>
      </w:r>
      <w:bookmarkStart w:name="_Hlk147771912" w:id="9"/>
      <w:r w:rsidRPr="00F1081A">
        <w:t xml:space="preserve">177,550 </w:t>
      </w:r>
      <w:bookmarkEnd w:id="9"/>
      <w:r w:rsidRPr="00F1081A">
        <w:t xml:space="preserve">in 2041. </w:t>
      </w:r>
    </w:p>
    <w:p w:rsidRPr="00F1081A" w:rsidR="00F9317F" w:rsidP="00F9317F" w:rsidRDefault="00F9317F" w14:paraId="7FF13D19" w14:textId="77777777">
      <w:pPr>
        <w:pStyle w:val="BodyText"/>
      </w:pPr>
      <w:r w:rsidRPr="00F1081A">
        <w:t>Other important population highlights are in the following:</w:t>
      </w:r>
    </w:p>
    <w:p w:rsidRPr="00F1081A" w:rsidR="00F9317F" w:rsidP="00A90325" w:rsidRDefault="00F9317F" w14:paraId="64C1EE5A" w14:textId="77777777">
      <w:pPr>
        <w:pStyle w:val="ListBullet"/>
        <w:numPr>
          <w:ilvl w:val="0"/>
          <w:numId w:val="8"/>
        </w:numPr>
      </w:pPr>
      <w:r w:rsidRPr="00F1081A">
        <w:t>Aboriginal and Torres Strait Islanders: 1.3%</w:t>
      </w:r>
    </w:p>
    <w:p w:rsidRPr="00F1081A" w:rsidR="00F9317F" w:rsidP="00A90325" w:rsidRDefault="00F9317F" w14:paraId="7EE1DFB6" w14:textId="77777777">
      <w:pPr>
        <w:pStyle w:val="ListBullet"/>
        <w:numPr>
          <w:ilvl w:val="0"/>
          <w:numId w:val="8"/>
        </w:numPr>
      </w:pPr>
      <w:r w:rsidRPr="00F1081A">
        <w:t>Median Age: 39</w:t>
      </w:r>
    </w:p>
    <w:p w:rsidRPr="00F1081A" w:rsidR="00F9317F" w:rsidP="00A90325" w:rsidRDefault="00F9317F" w14:paraId="3A505456" w14:textId="77777777">
      <w:pPr>
        <w:pStyle w:val="ListBullet"/>
        <w:numPr>
          <w:ilvl w:val="0"/>
          <w:numId w:val="8"/>
        </w:numPr>
      </w:pPr>
      <w:r w:rsidRPr="00F1081A">
        <w:t>Couples with children: 27%</w:t>
      </w:r>
    </w:p>
    <w:p w:rsidRPr="00F1081A" w:rsidR="00F9317F" w:rsidP="00A90325" w:rsidRDefault="00F9317F" w14:paraId="36C02D9A" w14:textId="77777777">
      <w:pPr>
        <w:pStyle w:val="ListBullet"/>
        <w:numPr>
          <w:ilvl w:val="0"/>
          <w:numId w:val="8"/>
        </w:numPr>
      </w:pPr>
      <w:r w:rsidRPr="00F1081A">
        <w:t>Lone persons: 26%</w:t>
      </w:r>
    </w:p>
    <w:p w:rsidRPr="00F1081A" w:rsidR="00F9317F" w:rsidP="00A90325" w:rsidRDefault="00F9317F" w14:paraId="05A235EE" w14:textId="77777777">
      <w:pPr>
        <w:pStyle w:val="ListBullet"/>
        <w:numPr>
          <w:ilvl w:val="0"/>
          <w:numId w:val="8"/>
        </w:numPr>
      </w:pPr>
      <w:r w:rsidRPr="00F1081A">
        <w:t>Older couples without children: 12%</w:t>
      </w:r>
    </w:p>
    <w:p w:rsidRPr="00F1081A" w:rsidR="00F9317F" w:rsidP="00A90325" w:rsidRDefault="00F9317F" w14:paraId="3AFB9BCA" w14:textId="77777777">
      <w:pPr>
        <w:pStyle w:val="ListBullet"/>
        <w:numPr>
          <w:ilvl w:val="0"/>
          <w:numId w:val="8"/>
        </w:numPr>
      </w:pPr>
      <w:r w:rsidRPr="00F1081A">
        <w:t>Households renting: 27%</w:t>
      </w:r>
    </w:p>
    <w:p w:rsidRPr="00F1081A" w:rsidR="00F9317F" w:rsidP="00A90325" w:rsidRDefault="00F9317F" w14:paraId="6194744A" w14:textId="77777777">
      <w:pPr>
        <w:pStyle w:val="ListBullet"/>
        <w:numPr>
          <w:ilvl w:val="0"/>
          <w:numId w:val="8"/>
        </w:numPr>
      </w:pPr>
      <w:r w:rsidRPr="00F1081A">
        <w:t>Households with mortgage: 33%</w:t>
      </w:r>
    </w:p>
    <w:p w:rsidRPr="00F1081A" w:rsidR="00F9317F" w:rsidP="00A90325" w:rsidRDefault="00F9317F" w14:paraId="173E27E8" w14:textId="77777777">
      <w:pPr>
        <w:pStyle w:val="ListBullet"/>
        <w:numPr>
          <w:ilvl w:val="0"/>
          <w:numId w:val="8"/>
        </w:numPr>
      </w:pPr>
      <w:r w:rsidRPr="00F1081A">
        <w:t>Unemployment Rate: 4.4%</w:t>
      </w:r>
    </w:p>
    <w:p w:rsidRPr="00F1081A" w:rsidR="00F9317F" w:rsidP="00A90325" w:rsidRDefault="00F9317F" w14:paraId="468DADC5" w14:textId="77777777">
      <w:pPr>
        <w:pStyle w:val="ListBullet"/>
        <w:numPr>
          <w:ilvl w:val="0"/>
          <w:numId w:val="8"/>
        </w:numPr>
      </w:pPr>
      <w:r w:rsidRPr="00F1081A">
        <w:t>Participation in labour force: 61%</w:t>
      </w:r>
    </w:p>
    <w:p w:rsidRPr="00F1081A" w:rsidR="00F9317F" w:rsidP="00A90325" w:rsidRDefault="00F9317F" w14:paraId="7BCB7E64" w14:textId="1F24C428">
      <w:pPr>
        <w:pStyle w:val="ListBullet"/>
        <w:numPr>
          <w:ilvl w:val="0"/>
          <w:numId w:val="8"/>
        </w:numPr>
      </w:pPr>
      <w:r w:rsidRPr="00F1081A">
        <w:t>University qualification: 24%</w:t>
      </w:r>
    </w:p>
    <w:p w:rsidRPr="00F1081A" w:rsidR="00F9317F" w:rsidP="00F9317F" w:rsidRDefault="00F9317F" w14:paraId="575F5F1F" w14:textId="0AC6EA1D">
      <w:pPr>
        <w:pStyle w:val="BodyText"/>
      </w:pPr>
      <w:r w:rsidRPr="00F1081A">
        <w:t xml:space="preserve">It is a popular retirement destination and there is a significant summer increase in temporary residents. There are estimated 74.4% of residents that live and work in the municipality. Geelong’s housing challenges are unique due to population growth and </w:t>
      </w:r>
      <w:r w:rsidR="00F66550">
        <w:t xml:space="preserve">our role as a </w:t>
      </w:r>
      <w:r w:rsidRPr="00F1081A">
        <w:t>regional employment hub. These housing challenges are discussed in the following section.</w:t>
      </w:r>
    </w:p>
    <w:p w:rsidR="03822F15" w:rsidP="06E0383F" w:rsidRDefault="002832AB" w14:paraId="22CCEB56" w14:textId="2684A139">
      <w:pPr>
        <w:pStyle w:val="BodyText"/>
      </w:pPr>
      <w:r w:rsidRPr="002832AB">
        <w:rPr>
          <w:noProof/>
        </w:rPr>
        <w:drawing>
          <wp:inline distT="0" distB="0" distL="0" distR="0" wp14:anchorId="4929C898" wp14:editId="2D8CA01F">
            <wp:extent cx="3185795" cy="44723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85795" cy="4472305"/>
                    </a:xfrm>
                    <a:prstGeom prst="rect">
                      <a:avLst/>
                    </a:prstGeom>
                  </pic:spPr>
                </pic:pic>
              </a:graphicData>
            </a:graphic>
          </wp:inline>
        </w:drawing>
      </w:r>
    </w:p>
    <w:p w:rsidRPr="008634A1" w:rsidR="03822F15" w:rsidP="06E0383F" w:rsidRDefault="03822F15" w14:paraId="7EC93FD1" w14:textId="7895B89C">
      <w:pPr>
        <w:pStyle w:val="BodyText"/>
        <w:rPr>
          <w:b/>
          <w:bCs/>
        </w:rPr>
      </w:pPr>
      <w:r w:rsidRPr="008634A1">
        <w:rPr>
          <w:b/>
          <w:bCs/>
        </w:rPr>
        <w:t>Map 1 –City of Greater Geelong</w:t>
      </w:r>
      <w:r w:rsidR="006D7550">
        <w:rPr>
          <w:b/>
          <w:bCs/>
        </w:rPr>
        <w:t xml:space="preserve"> </w:t>
      </w:r>
      <w:r w:rsidR="009877D9">
        <w:rPr>
          <w:b/>
          <w:bCs/>
        </w:rPr>
        <w:t>boundary and local areas</w:t>
      </w:r>
    </w:p>
    <w:p w:rsidRPr="00640A10" w:rsidR="00F9317F" w:rsidP="00F9317F" w:rsidRDefault="00F9317F" w14:paraId="00D10733" w14:textId="49302B6C">
      <w:pPr>
        <w:pStyle w:val="Heading1"/>
        <w:framePr w:wrap="around"/>
        <w:rPr>
          <w:rFonts w:eastAsiaTheme="minorEastAsia"/>
        </w:rPr>
      </w:pPr>
      <w:bookmarkStart w:name="_Toc373837818" w:id="10"/>
      <w:bookmarkStart w:name="_Toc1025786123" w:id="11"/>
      <w:bookmarkStart w:name="_Toc2117839302" w:id="12"/>
      <w:bookmarkStart w:name="_Toc148697951" w:id="13"/>
      <w:r w:rsidRPr="00640A10">
        <w:rPr>
          <w:rFonts w:eastAsiaTheme="minorEastAsia"/>
        </w:rPr>
        <w:t>Housing affordability issues in Geelong</w:t>
      </w:r>
      <w:bookmarkEnd w:id="10"/>
      <w:bookmarkEnd w:id="11"/>
      <w:bookmarkEnd w:id="12"/>
      <w:bookmarkEnd w:id="13"/>
    </w:p>
    <w:p w:rsidRPr="00F1081A" w:rsidR="00F9317F" w:rsidP="00F9317F" w:rsidRDefault="00F9317F" w14:paraId="6E0DE852" w14:textId="774558A9">
      <w:pPr>
        <w:pStyle w:val="Introduction"/>
      </w:pPr>
      <w:bookmarkStart w:name="_Toc147948898" w:id="14"/>
      <w:r w:rsidRPr="00F1081A">
        <w:t xml:space="preserve">The following section discusses the overall housing issues in Geelong related to price, affordability, supply and </w:t>
      </w:r>
      <w:r w:rsidR="000727EB">
        <w:t xml:space="preserve">forecast </w:t>
      </w:r>
      <w:r w:rsidRPr="00F1081A">
        <w:t xml:space="preserve">consumption of housing. </w:t>
      </w:r>
      <w:bookmarkEnd w:id="14"/>
    </w:p>
    <w:p w:rsidRPr="00F1081A" w:rsidR="00F9317F" w:rsidP="00F9317F" w:rsidRDefault="004A4707" w14:paraId="269685DB" w14:textId="001722AD">
      <w:pPr>
        <w:pStyle w:val="Heading2"/>
        <w:rPr>
          <w:rFonts w:eastAsiaTheme="minorEastAsia"/>
        </w:rPr>
      </w:pPr>
      <w:bookmarkStart w:name="_Toc148697952" w:id="15"/>
      <w:r>
        <w:rPr>
          <w:rFonts w:eastAsiaTheme="minorEastAsia"/>
        </w:rPr>
        <w:t>House prices and affordability</w:t>
      </w:r>
      <w:bookmarkEnd w:id="15"/>
    </w:p>
    <w:p w:rsidRPr="00F1081A" w:rsidR="00F9317F" w:rsidP="00063873" w:rsidRDefault="00F9317F" w14:paraId="7799EF82" w14:textId="37D7F316">
      <w:pPr>
        <w:pStyle w:val="ListBullet"/>
        <w:numPr>
          <w:ilvl w:val="0"/>
          <w:numId w:val="1"/>
        </w:numPr>
      </w:pPr>
      <w:r w:rsidRPr="00F1081A">
        <w:t xml:space="preserve">Median house prices in Geelong </w:t>
      </w:r>
      <w:r w:rsidR="00402DEA">
        <w:t>are</w:t>
      </w:r>
      <w:r w:rsidRPr="00F1081A">
        <w:t xml:space="preserve"> $730,000 while unit prices </w:t>
      </w:r>
      <w:r w:rsidR="00402DEA">
        <w:t>are</w:t>
      </w:r>
      <w:r w:rsidRPr="00F1081A">
        <w:t xml:space="preserve"> $518,000 (Dec 2022). </w:t>
      </w:r>
      <w:bookmarkStart w:name="_Hlk148469433" w:id="16"/>
      <w:r w:rsidRPr="00F1081A">
        <w:t>Prices are higher the overall regional average by at least 20</w:t>
      </w:r>
      <w:r w:rsidR="000727EB">
        <w:t xml:space="preserve"> per cent</w:t>
      </w:r>
      <w:r w:rsidRPr="00F1081A">
        <w:t>, comparing with other regional centres (</w:t>
      </w:r>
      <w:r w:rsidR="2D0DE893">
        <w:t xml:space="preserve">analysed in </w:t>
      </w:r>
      <w:r w:rsidR="1DC1B0F8">
        <w:t xml:space="preserve">REIV in </w:t>
      </w:r>
      <w:proofErr w:type="spellStart"/>
      <w:r w:rsidR="1DC1B0F8">
        <w:t>CoGG</w:t>
      </w:r>
      <w:proofErr w:type="spellEnd"/>
      <w:r w:rsidR="2D0DE893">
        <w:t xml:space="preserve"> 2023; </w:t>
      </w:r>
      <w:proofErr w:type="spellStart"/>
      <w:r w:rsidRPr="00F1081A">
        <w:t>PropTrack</w:t>
      </w:r>
      <w:proofErr w:type="spellEnd"/>
      <w:r w:rsidR="1DC1B0F8">
        <w:t xml:space="preserve"> in .id 2023</w:t>
      </w:r>
      <w:r w:rsidRPr="00F1081A">
        <w:t>).</w:t>
      </w:r>
    </w:p>
    <w:bookmarkEnd w:id="16"/>
    <w:p w:rsidRPr="00F1081A" w:rsidR="00F9317F" w:rsidP="00063873" w:rsidRDefault="00F9317F" w14:paraId="67863CF8" w14:textId="3ABD00C7">
      <w:pPr>
        <w:pStyle w:val="ListBullet"/>
        <w:numPr>
          <w:ilvl w:val="0"/>
          <w:numId w:val="1"/>
        </w:numPr>
      </w:pPr>
      <w:r w:rsidRPr="00F1081A">
        <w:t>Median house prices in Geelong have increased by 88.5</w:t>
      </w:r>
      <w:r w:rsidR="000727EB">
        <w:t xml:space="preserve"> per cent</w:t>
      </w:r>
      <w:r w:rsidRPr="00F1081A">
        <w:t xml:space="preserve"> over the last 10 years. In the period between 2020 to 2022, the increase was around 30</w:t>
      </w:r>
      <w:r w:rsidR="000727EB">
        <w:t xml:space="preserve"> per cent</w:t>
      </w:r>
      <w:r w:rsidRPr="00F1081A">
        <w:t>, indicating the intensity of the increase</w:t>
      </w:r>
      <w:r w:rsidR="4787CE50">
        <w:t xml:space="preserve"> (analysed in </w:t>
      </w:r>
      <w:proofErr w:type="spellStart"/>
      <w:r w:rsidR="4787CE50">
        <w:t>CoGG</w:t>
      </w:r>
      <w:proofErr w:type="spellEnd"/>
      <w:r w:rsidR="4787CE50">
        <w:t xml:space="preserve"> 2023)</w:t>
      </w:r>
      <w:r>
        <w:t>.</w:t>
      </w:r>
    </w:p>
    <w:p w:rsidRPr="00F1081A" w:rsidR="00F9317F" w:rsidP="00063873" w:rsidRDefault="00F9317F" w14:paraId="23DDE1EB" w14:textId="77777777">
      <w:pPr>
        <w:pStyle w:val="ListBullet"/>
        <w:numPr>
          <w:ilvl w:val="0"/>
          <w:numId w:val="1"/>
        </w:numPr>
      </w:pPr>
      <w:r w:rsidRPr="00F1081A">
        <w:t xml:space="preserve">Housing price to income ratio has increased from 6.0x in June 2016 to 10.8x in December 2021 (analysed in .id 2023; ABS 2016; ABS 2021; </w:t>
      </w:r>
      <w:proofErr w:type="spellStart"/>
      <w:r w:rsidRPr="00F1081A">
        <w:t>PropTrack</w:t>
      </w:r>
      <w:proofErr w:type="spellEnd"/>
      <w:r w:rsidRPr="00F1081A">
        <w:t xml:space="preserve"> 2022), signalling that the market has become less affordable. The increase of the price to income ratio in the 5 years between 2016 to 2021 usually correlates with higher deposit and lesser ability to obtain a loan. </w:t>
      </w:r>
    </w:p>
    <w:p w:rsidRPr="00F1081A" w:rsidR="00F9317F" w:rsidP="00063873" w:rsidRDefault="00F9317F" w14:paraId="1230B676" w14:textId="3760F693">
      <w:pPr>
        <w:pStyle w:val="ListBullet"/>
        <w:numPr>
          <w:ilvl w:val="0"/>
          <w:numId w:val="1"/>
        </w:numPr>
      </w:pPr>
      <w:r w:rsidRPr="00F1081A">
        <w:t>Based on median house price, a 20</w:t>
      </w:r>
      <w:r w:rsidR="000727EB">
        <w:t xml:space="preserve"> per cent</w:t>
      </w:r>
      <w:r w:rsidRPr="00F1081A">
        <w:t xml:space="preserve"> minimum deposit required now is at $146,000. </w:t>
      </w:r>
    </w:p>
    <w:p w:rsidRPr="00F1081A" w:rsidR="00F9317F" w:rsidP="00063873" w:rsidRDefault="00F9317F" w14:paraId="71D48848" w14:textId="77777777">
      <w:pPr>
        <w:pStyle w:val="ListBullet"/>
        <w:numPr>
          <w:ilvl w:val="0"/>
          <w:numId w:val="1"/>
        </w:numPr>
      </w:pPr>
      <w:r w:rsidRPr="00F1081A">
        <w:t xml:space="preserve">Although wages have increased from $1,242pw to $1,625pw, the time required to save for deposit are longer because of the rate and quantum of house price increase is substantially more that wages. </w:t>
      </w:r>
    </w:p>
    <w:p w:rsidR="00F9317F" w:rsidP="00063873" w:rsidRDefault="00F9317F" w14:paraId="017D33F0" w14:textId="0416C1F9">
      <w:pPr>
        <w:pStyle w:val="ListBullet"/>
        <w:numPr>
          <w:ilvl w:val="0"/>
          <w:numId w:val="1"/>
        </w:numPr>
      </w:pPr>
      <w:r w:rsidRPr="00F1081A">
        <w:t>Median house rent is $480 while $395 is the median unit rent and these are about 10</w:t>
      </w:r>
      <w:r w:rsidR="000727EB">
        <w:t xml:space="preserve"> per cent</w:t>
      </w:r>
      <w:r w:rsidRPr="00F1081A">
        <w:t xml:space="preserve"> higher than the regional average.</w:t>
      </w:r>
    </w:p>
    <w:p w:rsidRPr="00F1081A" w:rsidR="000727EB" w:rsidP="00063873" w:rsidRDefault="000727EB" w14:paraId="781C1D68" w14:textId="41C5D5E0">
      <w:pPr>
        <w:pStyle w:val="ListBullet"/>
        <w:numPr>
          <w:ilvl w:val="0"/>
          <w:numId w:val="1"/>
        </w:numPr>
      </w:pPr>
      <w:r w:rsidRPr="00F1081A">
        <w:t>Median rental price</w:t>
      </w:r>
      <w:r>
        <w:t>s</w:t>
      </w:r>
      <w:r w:rsidRPr="00F1081A">
        <w:t xml:space="preserve"> in Geelong have increased by 20</w:t>
      </w:r>
      <w:r>
        <w:t xml:space="preserve"> per cent</w:t>
      </w:r>
      <w:r w:rsidRPr="00F1081A">
        <w:t xml:space="preserve"> since 2020. This is increase is problematic because it affects a substantial number of households in the </w:t>
      </w:r>
      <w:r>
        <w:t>municipality</w:t>
      </w:r>
      <w:r w:rsidRPr="00F1081A">
        <w:t>, estimated to be about 30-35</w:t>
      </w:r>
      <w:r>
        <w:t xml:space="preserve"> per cent</w:t>
      </w:r>
      <w:r w:rsidRPr="00F1081A">
        <w:t xml:space="preserve"> of households that are renting</w:t>
      </w:r>
      <w:r>
        <w:t>.</w:t>
      </w:r>
    </w:p>
    <w:p w:rsidRPr="00F1081A" w:rsidR="00F9317F" w:rsidP="00F9317F" w:rsidRDefault="004A4707" w14:paraId="3B3E2261" w14:textId="4EB1AE6D">
      <w:pPr>
        <w:pStyle w:val="Heading2"/>
        <w:rPr>
          <w:rFonts w:eastAsiaTheme="minorEastAsia"/>
        </w:rPr>
      </w:pPr>
      <w:bookmarkStart w:name="_Toc148697953" w:id="17"/>
      <w:r>
        <w:rPr>
          <w:rFonts w:eastAsiaTheme="minorEastAsia"/>
        </w:rPr>
        <w:t>Housing supply and consumption</w:t>
      </w:r>
      <w:bookmarkEnd w:id="17"/>
    </w:p>
    <w:p w:rsidRPr="00F1081A" w:rsidR="001E02A8" w:rsidP="00063873" w:rsidRDefault="001E02A8" w14:paraId="6A7F69AE" w14:textId="0C30ACBB">
      <w:pPr>
        <w:pStyle w:val="ListBullet"/>
        <w:numPr>
          <w:ilvl w:val="0"/>
          <w:numId w:val="1"/>
        </w:numPr>
      </w:pPr>
      <w:r w:rsidRPr="00F1081A">
        <w:t>Geelong’s population will grow 30</w:t>
      </w:r>
      <w:r>
        <w:t xml:space="preserve"> per cent </w:t>
      </w:r>
      <w:r w:rsidRPr="00F1081A">
        <w:t>to 360,245 in the next 15 years. In meeting the demand for growing population, the forecast number of dwellings is estimated to grow from 120,587 in 2021 to 177,550 in 2041</w:t>
      </w:r>
      <w:r w:rsidR="278985EA">
        <w:t xml:space="preserve"> (.id, 2023)</w:t>
      </w:r>
      <w:r>
        <w:t>.</w:t>
      </w:r>
    </w:p>
    <w:p w:rsidRPr="00F1081A" w:rsidR="001E02A8" w:rsidP="00063873" w:rsidRDefault="001E02A8" w14:paraId="35062682" w14:textId="08C7BC9F">
      <w:pPr>
        <w:pStyle w:val="ListBullet"/>
        <w:numPr>
          <w:ilvl w:val="0"/>
          <w:numId w:val="1"/>
        </w:numPr>
      </w:pPr>
      <w:r w:rsidRPr="00F1081A">
        <w:t>Household formation is changing, smaller households (lone person and couples) are emerging and expected to outpace larger households with estimated 50</w:t>
      </w:r>
      <w:r>
        <w:t xml:space="preserve"> per cent</w:t>
      </w:r>
      <w:r w:rsidRPr="00F1081A">
        <w:t xml:space="preserve"> growth in the next 20 years (</w:t>
      </w:r>
      <w:r>
        <w:t>.</w:t>
      </w:r>
      <w:r w:rsidRPr="00F1081A">
        <w:t xml:space="preserve">id 2023). </w:t>
      </w:r>
    </w:p>
    <w:p w:rsidR="00F9317F" w:rsidP="00063873" w:rsidRDefault="00F9317F" w14:paraId="59B9B2D0" w14:textId="79E8287D">
      <w:pPr>
        <w:pStyle w:val="ListBullet"/>
        <w:numPr>
          <w:ilvl w:val="0"/>
          <w:numId w:val="1"/>
        </w:numPr>
      </w:pPr>
      <w:r w:rsidRPr="00F1081A">
        <w:t>Separate houses make up to 86</w:t>
      </w:r>
      <w:r>
        <w:t xml:space="preserve"> per cent</w:t>
      </w:r>
      <w:r w:rsidRPr="00F1081A">
        <w:t xml:space="preserve"> of supply in the </w:t>
      </w:r>
      <w:proofErr w:type="gramStart"/>
      <w:r w:rsidRPr="00F1081A">
        <w:t>City</w:t>
      </w:r>
      <w:proofErr w:type="gramEnd"/>
      <w:r w:rsidRPr="00F1081A">
        <w:t xml:space="preserve"> while medium and high-density housing typology such as units and apartments makes up the other remaining 14</w:t>
      </w:r>
      <w:r>
        <w:t xml:space="preserve"> per cent</w:t>
      </w:r>
      <w:r w:rsidRPr="00F1081A">
        <w:t xml:space="preserve">. </w:t>
      </w:r>
    </w:p>
    <w:p w:rsidR="000727EB" w:rsidP="00063873" w:rsidRDefault="000727EB" w14:paraId="1FE9539C" w14:textId="6D89354D">
      <w:pPr>
        <w:pStyle w:val="ListBullet"/>
        <w:numPr>
          <w:ilvl w:val="0"/>
          <w:numId w:val="1"/>
        </w:numPr>
      </w:pPr>
      <w:r w:rsidRPr="00F1081A">
        <w:t xml:space="preserve">As a regional city and growth area, the demand of housing in the market system is being met predominantly and large dwellings </w:t>
      </w:r>
      <w:r w:rsidR="001E02A8">
        <w:t>in greenfield</w:t>
      </w:r>
      <w:r w:rsidRPr="00F1081A">
        <w:t xml:space="preserve"> subdivisions</w:t>
      </w:r>
      <w:r w:rsidR="001E02A8">
        <w:t xml:space="preserve"> (75 per cent of new housing supply)</w:t>
      </w:r>
      <w:r w:rsidR="090B870D">
        <w:t xml:space="preserve"> (.id 2023)</w:t>
      </w:r>
      <w:r>
        <w:t>.</w:t>
      </w:r>
      <w:r w:rsidR="513F2F30">
        <w:t xml:space="preserve"> </w:t>
      </w:r>
    </w:p>
    <w:p w:rsidRPr="00F1081A" w:rsidR="001E02A8" w:rsidP="00063873" w:rsidRDefault="001E02A8" w14:paraId="54531E73" w14:textId="13C4170B">
      <w:pPr>
        <w:pStyle w:val="ListBullet"/>
        <w:numPr>
          <w:ilvl w:val="0"/>
          <w:numId w:val="1"/>
        </w:numPr>
      </w:pPr>
      <w:r w:rsidRPr="00F1081A">
        <w:t>There has not been enough delivery of housing diversity in smaller dwellings for smaller households to have a choice, leading to private rental sharing between smaller households to sustain the effect of rental price increase, leading to the issue of overcrowding.</w:t>
      </w:r>
    </w:p>
    <w:p w:rsidRPr="00F1081A" w:rsidR="000727EB" w:rsidP="00063873" w:rsidRDefault="00F9317F" w14:paraId="013F2C09" w14:textId="1A5294DC">
      <w:pPr>
        <w:pStyle w:val="ListBullet"/>
        <w:numPr>
          <w:ilvl w:val="0"/>
          <w:numId w:val="1"/>
        </w:numPr>
      </w:pPr>
      <w:r>
        <w:t>O</w:t>
      </w:r>
      <w:r w:rsidRPr="00F1081A">
        <w:t>nly 0.9</w:t>
      </w:r>
      <w:r>
        <w:t xml:space="preserve"> per cent</w:t>
      </w:r>
      <w:r w:rsidRPr="00F1081A">
        <w:t xml:space="preserve"> of housing supply </w:t>
      </w:r>
      <w:r>
        <w:t>is</w:t>
      </w:r>
      <w:r w:rsidRPr="00F1081A">
        <w:t xml:space="preserve"> affordable to rent for very low-income households as compared to 15.5</w:t>
      </w:r>
      <w:r>
        <w:t xml:space="preserve"> per cent of</w:t>
      </w:r>
      <w:r w:rsidRPr="00F1081A">
        <w:t xml:space="preserve"> low-income households. There are 81</w:t>
      </w:r>
      <w:r>
        <w:t xml:space="preserve"> per cent</w:t>
      </w:r>
      <w:r w:rsidRPr="00F1081A">
        <w:t xml:space="preserve"> of properties that are affordable to rent for moderate income households. </w:t>
      </w:r>
      <w:r w:rsidRPr="00F1081A" w:rsidR="000727EB">
        <w:t xml:space="preserve"> </w:t>
      </w:r>
    </w:p>
    <w:p w:rsidRPr="00F1081A" w:rsidR="00F9317F" w:rsidP="00063873" w:rsidRDefault="00F9317F" w14:paraId="5D36E6C5" w14:textId="211E7F2D">
      <w:pPr>
        <w:pStyle w:val="ListBullet"/>
        <w:numPr>
          <w:ilvl w:val="0"/>
          <w:numId w:val="1"/>
        </w:numPr>
      </w:pPr>
      <w:r w:rsidRPr="00F1081A">
        <w:t>There are significant home purchase affordability pressures on very low to moderate income households. Less than 1</w:t>
      </w:r>
      <w:r>
        <w:t xml:space="preserve"> per cent</w:t>
      </w:r>
      <w:r w:rsidRPr="00F1081A">
        <w:t xml:space="preserve"> of dwellings in the </w:t>
      </w:r>
      <w:r w:rsidR="001E02A8">
        <w:t>municipality</w:t>
      </w:r>
      <w:r w:rsidRPr="00F1081A">
        <w:t xml:space="preserve"> are affordable to purchase by low and very low-income households. Only 8.7</w:t>
      </w:r>
      <w:r>
        <w:t xml:space="preserve"> per cent</w:t>
      </w:r>
      <w:r w:rsidRPr="00F1081A">
        <w:t xml:space="preserve"> of dwellings are affordable for purchase by moderate income households</w:t>
      </w:r>
      <w:r w:rsidR="792AD18D">
        <w:t xml:space="preserve"> (.id 2023)</w:t>
      </w:r>
      <w:r>
        <w:t>.</w:t>
      </w:r>
      <w:r w:rsidRPr="00F1081A">
        <w:t xml:space="preserve"> Without intervention, the proportion of home ownership for these households will continue to decline. </w:t>
      </w:r>
    </w:p>
    <w:p w:rsidRPr="00F1081A" w:rsidR="00F9317F" w:rsidP="00063873" w:rsidRDefault="00F9317F" w14:paraId="1E3FEA7C" w14:textId="527F508E">
      <w:pPr>
        <w:pStyle w:val="ListBullet"/>
        <w:numPr>
          <w:ilvl w:val="0"/>
          <w:numId w:val="1"/>
        </w:numPr>
      </w:pPr>
      <w:r w:rsidRPr="00F1081A">
        <w:t>Lone persons (6.7</w:t>
      </w:r>
      <w:r>
        <w:t xml:space="preserve"> per cent</w:t>
      </w:r>
      <w:r w:rsidRPr="00F1081A">
        <w:t>) and families (8.7</w:t>
      </w:r>
      <w:r>
        <w:t xml:space="preserve"> per cent</w:t>
      </w:r>
      <w:r w:rsidRPr="00F1081A">
        <w:t>) in the very low to moderate income group are most in need for affordable housing, compared to all households in Geelong, as these group struggle the most to access the private housing market.</w:t>
      </w:r>
    </w:p>
    <w:p w:rsidR="00F9317F" w:rsidP="00063873" w:rsidRDefault="00F9317F" w14:paraId="15136580" w14:textId="53DE9079">
      <w:pPr>
        <w:pStyle w:val="ListBullet"/>
        <w:numPr>
          <w:ilvl w:val="0"/>
          <w:numId w:val="1"/>
        </w:numPr>
      </w:pPr>
      <w:r w:rsidRPr="00F1081A">
        <w:t>New homes approvals are declining June 2022 to 2023 by approximately 22</w:t>
      </w:r>
      <w:r>
        <w:t xml:space="preserve"> per cent</w:t>
      </w:r>
      <w:r w:rsidRPr="00F1081A">
        <w:t xml:space="preserve"> at 3,061. However, water connections by Barwon Water, shows a </w:t>
      </w:r>
      <w:r w:rsidRPr="00F1081A" w:rsidR="001E02A8">
        <w:t>year-on-year</w:t>
      </w:r>
      <w:r w:rsidRPr="00F1081A">
        <w:t xml:space="preserve"> increase of 26</w:t>
      </w:r>
      <w:r>
        <w:t xml:space="preserve"> per cent</w:t>
      </w:r>
      <w:r w:rsidRPr="00F1081A">
        <w:t xml:space="preserve"> at 4,010 new connections on serviced land that achieved compliance. The overlap between reduction and increase is due to the lag effect between approvals and delivery and the taper off from new supply to existing approved delivery. This data will be tracked again in the following year.</w:t>
      </w:r>
    </w:p>
    <w:p w:rsidRPr="00F1081A" w:rsidR="00F9317F" w:rsidP="004254BD" w:rsidRDefault="00F9317F" w14:paraId="242999CC" w14:textId="0C4DD179">
      <w:pPr>
        <w:pStyle w:val="Heading2"/>
        <w:rPr>
          <w:rFonts w:eastAsiaTheme="minorEastAsia"/>
        </w:rPr>
      </w:pPr>
      <w:bookmarkStart w:name="_Toc147948901" w:id="18"/>
      <w:bookmarkStart w:name="_Toc194330021" w:id="19"/>
      <w:bookmarkStart w:name="_Toc1248050378" w:id="20"/>
      <w:bookmarkStart w:name="_Toc1336992995" w:id="21"/>
      <w:bookmarkStart w:name="_Toc148697954" w:id="22"/>
      <w:r w:rsidRPr="00F1081A">
        <w:rPr>
          <w:rFonts w:eastAsiaTheme="minorEastAsia"/>
        </w:rPr>
        <w:t xml:space="preserve">Housing </w:t>
      </w:r>
      <w:r w:rsidR="00640A10">
        <w:rPr>
          <w:rFonts w:eastAsiaTheme="minorEastAsia"/>
        </w:rPr>
        <w:t>s</w:t>
      </w:r>
      <w:r w:rsidRPr="00F1081A">
        <w:rPr>
          <w:rFonts w:eastAsiaTheme="minorEastAsia"/>
        </w:rPr>
        <w:t xml:space="preserve">tress, </w:t>
      </w:r>
      <w:r w:rsidR="00640A10">
        <w:rPr>
          <w:rFonts w:eastAsiaTheme="minorEastAsia"/>
        </w:rPr>
        <w:t>h</w:t>
      </w:r>
      <w:r w:rsidRPr="00F1081A">
        <w:rPr>
          <w:rFonts w:eastAsiaTheme="minorEastAsia"/>
        </w:rPr>
        <w:t xml:space="preserve">omelessness And </w:t>
      </w:r>
      <w:r w:rsidR="00640A10">
        <w:rPr>
          <w:rFonts w:eastAsiaTheme="minorEastAsia"/>
        </w:rPr>
        <w:t>a</w:t>
      </w:r>
      <w:r w:rsidRPr="00F1081A">
        <w:rPr>
          <w:rFonts w:eastAsiaTheme="minorEastAsia"/>
        </w:rPr>
        <w:t xml:space="preserve">ffordable </w:t>
      </w:r>
      <w:r w:rsidR="00640A10">
        <w:rPr>
          <w:rFonts w:eastAsiaTheme="minorEastAsia"/>
        </w:rPr>
        <w:t>h</w:t>
      </w:r>
      <w:r w:rsidRPr="00F1081A">
        <w:rPr>
          <w:rFonts w:eastAsiaTheme="minorEastAsia"/>
        </w:rPr>
        <w:t xml:space="preserve">ousing </w:t>
      </w:r>
      <w:r w:rsidR="00640A10">
        <w:rPr>
          <w:rFonts w:eastAsiaTheme="minorEastAsia"/>
        </w:rPr>
        <w:t>n</w:t>
      </w:r>
      <w:r w:rsidRPr="00F1081A">
        <w:rPr>
          <w:rFonts w:eastAsiaTheme="minorEastAsia"/>
        </w:rPr>
        <w:t>eed</w:t>
      </w:r>
      <w:bookmarkEnd w:id="22"/>
      <w:r w:rsidRPr="00F1081A">
        <w:rPr>
          <w:rFonts w:eastAsiaTheme="minorEastAsia"/>
        </w:rPr>
        <w:t xml:space="preserve"> </w:t>
      </w:r>
      <w:bookmarkEnd w:id="18"/>
      <w:bookmarkEnd w:id="19"/>
      <w:bookmarkEnd w:id="20"/>
      <w:bookmarkEnd w:id="21"/>
    </w:p>
    <w:p w:rsidRPr="00F1081A" w:rsidR="00F9317F" w:rsidP="007D41F0" w:rsidRDefault="00F9317F" w14:paraId="6AFDE6B9" w14:textId="722B9C71">
      <w:pPr>
        <w:pStyle w:val="ListBullet"/>
        <w:numPr>
          <w:ilvl w:val="0"/>
          <w:numId w:val="1"/>
        </w:numPr>
      </w:pPr>
      <w:r w:rsidRPr="00F1081A">
        <w:t>There are total of 9,056 (8.4</w:t>
      </w:r>
      <w:r>
        <w:t xml:space="preserve"> per cent</w:t>
      </w:r>
      <w:r w:rsidRPr="00F1081A">
        <w:t xml:space="preserve">) households in the </w:t>
      </w:r>
      <w:r w:rsidR="000727EB">
        <w:t>municipality</w:t>
      </w:r>
      <w:r w:rsidRPr="00F1081A">
        <w:t xml:space="preserve"> that are in housing stress. </w:t>
      </w:r>
    </w:p>
    <w:p w:rsidRPr="00F1081A" w:rsidR="00F9317F" w:rsidP="007D41F0" w:rsidRDefault="00F9317F" w14:paraId="29892937" w14:textId="6FE71190">
      <w:pPr>
        <w:pStyle w:val="ListBullet"/>
        <w:numPr>
          <w:ilvl w:val="0"/>
          <w:numId w:val="1"/>
        </w:numPr>
      </w:pPr>
      <w:r w:rsidRPr="00F1081A">
        <w:t>There are 25.6</w:t>
      </w:r>
      <w:r w:rsidR="000727EB">
        <w:t xml:space="preserve"> per cent</w:t>
      </w:r>
      <w:r w:rsidRPr="00F1081A">
        <w:t xml:space="preserve"> or 6,603 number of households renting in the </w:t>
      </w:r>
      <w:r w:rsidR="000727EB">
        <w:t>municipality</w:t>
      </w:r>
      <w:r w:rsidRPr="00F1081A">
        <w:t xml:space="preserve"> that are in rental stress. </w:t>
      </w:r>
      <w:r w:rsidR="000727EB">
        <w:t>Most</w:t>
      </w:r>
      <w:r w:rsidRPr="00F1081A">
        <w:t xml:space="preserve"> households in rentals stress are single and family households. </w:t>
      </w:r>
    </w:p>
    <w:p w:rsidRPr="00F1081A" w:rsidR="00F9317F" w:rsidP="007D41F0" w:rsidRDefault="00F9317F" w14:paraId="0DFEECF0" w14:textId="7E62EB6E">
      <w:pPr>
        <w:pStyle w:val="ListBullet"/>
        <w:numPr>
          <w:ilvl w:val="0"/>
          <w:numId w:val="1"/>
        </w:numPr>
      </w:pPr>
      <w:r w:rsidRPr="00F1081A">
        <w:t>At least 7</w:t>
      </w:r>
      <w:r w:rsidR="000727EB">
        <w:t xml:space="preserve"> per cent</w:t>
      </w:r>
      <w:r w:rsidRPr="00F1081A">
        <w:t xml:space="preserve"> or 2,463 number of households with a mortgage in Geelong are in mortgage stress, mostly affecting the low to very low-income households. </w:t>
      </w:r>
    </w:p>
    <w:p w:rsidR="001E02A8" w:rsidP="007D41F0" w:rsidRDefault="00413DB8" w14:paraId="60D164D6" w14:textId="1682813F">
      <w:pPr>
        <w:pStyle w:val="ListBullet"/>
        <w:numPr>
          <w:ilvl w:val="0"/>
          <w:numId w:val="1"/>
        </w:numPr>
      </w:pPr>
      <w:bookmarkStart w:name="_Hlk147387864" w:id="23"/>
      <w:r>
        <w:rPr>
          <w:noProof/>
        </w:rPr>
        <mc:AlternateContent>
          <mc:Choice Requires="wps">
            <w:drawing>
              <wp:anchor distT="45720" distB="45720" distL="114300" distR="114300" simplePos="0" relativeHeight="251658242" behindDoc="0" locked="0" layoutInCell="1" allowOverlap="1" wp14:anchorId="137FE716" wp14:editId="72D07FB9">
                <wp:simplePos x="0" y="0"/>
                <wp:positionH relativeFrom="column">
                  <wp:posOffset>123825</wp:posOffset>
                </wp:positionH>
                <wp:positionV relativeFrom="paragraph">
                  <wp:posOffset>4487545</wp:posOffset>
                </wp:positionV>
                <wp:extent cx="4867275" cy="1404620"/>
                <wp:effectExtent l="0" t="0" r="9525"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404620"/>
                        </a:xfrm>
                        <a:prstGeom prst="rect">
                          <a:avLst/>
                        </a:prstGeom>
                        <a:solidFill>
                          <a:srgbClr val="FFFFFF"/>
                        </a:solidFill>
                        <a:ln w="9525">
                          <a:noFill/>
                          <a:miter lim="800000"/>
                          <a:headEnd/>
                          <a:tailEnd/>
                        </a:ln>
                      </wps:spPr>
                      <wps:txbx>
                        <w:txbxContent>
                          <w:p w:rsidRPr="004965FB" w:rsidR="00413DB8" w:rsidP="00413DB8" w:rsidRDefault="00413DB8" w14:paraId="03A3D483" w14:textId="3B02BE4F">
                            <w:pPr>
                              <w:pStyle w:val="BodyText"/>
                              <w:rPr>
                                <w:rFonts w:eastAsiaTheme="minorEastAsia"/>
                                <w:b/>
                                <w:bCs/>
                              </w:rPr>
                            </w:pPr>
                            <w:r w:rsidRPr="004965FB">
                              <w:rPr>
                                <w:b/>
                                <w:bCs/>
                              </w:rPr>
                              <w:t xml:space="preserve">Figure </w:t>
                            </w:r>
                            <w:r w:rsidRPr="004965FB" w:rsidR="005949A6">
                              <w:rPr>
                                <w:b/>
                                <w:bCs/>
                              </w:rPr>
                              <w:t>1</w:t>
                            </w:r>
                            <w:r w:rsidRPr="004965FB">
                              <w:rPr>
                                <w:b/>
                                <w:bCs/>
                              </w:rPr>
                              <w:t xml:space="preserve">: Households type and </w:t>
                            </w:r>
                            <w:r w:rsidRPr="004965FB" w:rsidR="0094763C">
                              <w:rPr>
                                <w:b/>
                                <w:bCs/>
                              </w:rPr>
                              <w:t>f</w:t>
                            </w:r>
                            <w:r w:rsidRPr="004965FB">
                              <w:rPr>
                                <w:b/>
                                <w:bCs/>
                              </w:rPr>
                              <w:t xml:space="preserve">uture </w:t>
                            </w:r>
                            <w:r w:rsidRPr="004965FB" w:rsidR="0094763C">
                              <w:rPr>
                                <w:b/>
                                <w:bCs/>
                              </w:rPr>
                              <w:t>f</w:t>
                            </w:r>
                            <w:r w:rsidRPr="004965FB">
                              <w:rPr>
                                <w:b/>
                                <w:bCs/>
                              </w:rPr>
                              <w:t>orecast (.id.2023)</w:t>
                            </w:r>
                          </w:p>
                          <w:p w:rsidR="00413DB8" w:rsidRDefault="00413DB8" w14:paraId="14EB3F04" w14:textId="3C1AFDB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6BFAB183">
              <v:shapetype id="_x0000_t202" coordsize="21600,21600" o:spt="202" path="m,l,21600r21600,l21600,xe" w14:anchorId="137FE716">
                <v:stroke joinstyle="miter"/>
                <v:path gradientshapeok="t" o:connecttype="rect"/>
              </v:shapetype>
              <v:shape id="Text Box 217" style="position:absolute;left:0;text-align:left;margin-left:9.75pt;margin-top:353.35pt;width:383.2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">
                <v:textbox style="mso-fit-shape-to-text:t">
                  <w:txbxContent>
                    <w:p w:rsidRPr="004965FB" w:rsidR="00413DB8" w:rsidP="00413DB8" w:rsidRDefault="00413DB8" w14:paraId="55E4E77A" w14:textId="3B02BE4F">
                      <w:pPr>
                        <w:pStyle w:val="BodyText"/>
                        <w:rPr>
                          <w:rFonts w:eastAsiaTheme="minorEastAsia"/>
                          <w:b/>
                          <w:bCs/>
                        </w:rPr>
                      </w:pPr>
                      <w:r w:rsidRPr="004965FB">
                        <w:rPr>
                          <w:b/>
                          <w:bCs/>
                        </w:rPr>
                        <w:t xml:space="preserve">Figure </w:t>
                      </w:r>
                      <w:r w:rsidRPr="004965FB" w:rsidR="005949A6">
                        <w:rPr>
                          <w:b/>
                          <w:bCs/>
                        </w:rPr>
                        <w:t>1</w:t>
                      </w:r>
                      <w:r w:rsidRPr="004965FB">
                        <w:rPr>
                          <w:b/>
                          <w:bCs/>
                        </w:rPr>
                        <w:t xml:space="preserve">: Households type and </w:t>
                      </w:r>
                      <w:r w:rsidRPr="004965FB" w:rsidR="0094763C">
                        <w:rPr>
                          <w:b/>
                          <w:bCs/>
                        </w:rPr>
                        <w:t>f</w:t>
                      </w:r>
                      <w:r w:rsidRPr="004965FB">
                        <w:rPr>
                          <w:b/>
                          <w:bCs/>
                        </w:rPr>
                        <w:t xml:space="preserve">uture </w:t>
                      </w:r>
                      <w:r w:rsidRPr="004965FB" w:rsidR="0094763C">
                        <w:rPr>
                          <w:b/>
                          <w:bCs/>
                        </w:rPr>
                        <w:t>f</w:t>
                      </w:r>
                      <w:r w:rsidRPr="004965FB">
                        <w:rPr>
                          <w:b/>
                          <w:bCs/>
                        </w:rPr>
                        <w:t>orecast (.id.2023)</w:t>
                      </w:r>
                    </w:p>
                    <w:p w:rsidR="00413DB8" w:rsidRDefault="00413DB8" w14:paraId="672A6659" w14:textId="3C1AFDB5"/>
                  </w:txbxContent>
                </v:textbox>
                <w10:wrap type="square"/>
              </v:shape>
            </w:pict>
          </mc:Fallback>
        </mc:AlternateContent>
      </w:r>
      <w:r>
        <w:rPr>
          <w:noProof/>
        </w:rPr>
        <w:drawing>
          <wp:anchor distT="0" distB="0" distL="114300" distR="114300" simplePos="0" relativeHeight="251658241" behindDoc="0" locked="0" layoutInCell="1" allowOverlap="1" wp14:anchorId="457B783C" wp14:editId="393E12F3">
            <wp:simplePos x="0" y="0"/>
            <wp:positionH relativeFrom="margin">
              <wp:align>center</wp:align>
            </wp:positionH>
            <wp:positionV relativeFrom="paragraph">
              <wp:posOffset>1091565</wp:posOffset>
            </wp:positionV>
            <wp:extent cx="6315075" cy="3451452"/>
            <wp:effectExtent l="0" t="0" r="0" b="0"/>
            <wp:wrapNone/>
            <wp:docPr id="2134605283" name="Picture 213460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605283"/>
                    <pic:cNvPicPr/>
                  </pic:nvPicPr>
                  <pic:blipFill>
                    <a:blip r:embed="rId16">
                      <a:extLst>
                        <a:ext uri="{28A0092B-C50C-407E-A947-70E740481C1C}">
                          <a14:useLocalDpi xmlns:a14="http://schemas.microsoft.com/office/drawing/2010/main" val="0"/>
                        </a:ext>
                      </a:extLst>
                    </a:blip>
                    <a:stretch>
                      <a:fillRect/>
                    </a:stretch>
                  </pic:blipFill>
                  <pic:spPr>
                    <a:xfrm>
                      <a:off x="0" y="0"/>
                      <a:ext cx="6315075" cy="3451452"/>
                    </a:xfrm>
                    <a:prstGeom prst="rect">
                      <a:avLst/>
                    </a:prstGeom>
                  </pic:spPr>
                </pic:pic>
              </a:graphicData>
            </a:graphic>
            <wp14:sizeRelH relativeFrom="margin">
              <wp14:pctWidth>0</wp14:pctWidth>
            </wp14:sizeRelH>
            <wp14:sizeRelV relativeFrom="margin">
              <wp14:pctHeight>0</wp14:pctHeight>
            </wp14:sizeRelV>
          </wp:anchor>
        </w:drawing>
      </w:r>
      <w:r w:rsidRPr="00F1081A" w:rsidR="00F9317F">
        <w:t>People that are experiencing homelessness and without a home increased from 743 to 1,533 in the 5 years between 2016 to 2021, registering a 51.5</w:t>
      </w:r>
      <w:r w:rsidR="000727EB">
        <w:t xml:space="preserve"> per cent</w:t>
      </w:r>
      <w:r w:rsidRPr="00F1081A" w:rsidR="00F9317F">
        <w:t xml:space="preserve"> growth in the period.</w:t>
      </w:r>
      <w:r w:rsidR="001E02A8">
        <w:br w:type="column"/>
      </w:r>
      <w:bookmarkEnd w:id="23"/>
    </w:p>
    <w:p w:rsidR="181883BF" w:rsidP="008C165A" w:rsidRDefault="00F9317F" w14:paraId="6527B3BF" w14:textId="2B93A54E">
      <w:pPr>
        <w:pStyle w:val="ListBullet"/>
        <w:numPr>
          <w:ilvl w:val="0"/>
          <w:numId w:val="1"/>
        </w:numPr>
      </w:pPr>
      <w:r w:rsidRPr="00F1081A">
        <w:t xml:space="preserve">Social and </w:t>
      </w:r>
      <w:r w:rsidR="000727EB">
        <w:t>a</w:t>
      </w:r>
      <w:r w:rsidRPr="00F1081A">
        <w:t xml:space="preserve">ffordable </w:t>
      </w:r>
      <w:r w:rsidR="000727EB">
        <w:t>h</w:t>
      </w:r>
      <w:r w:rsidRPr="00F1081A">
        <w:t xml:space="preserve">ousing </w:t>
      </w:r>
      <w:r w:rsidR="000727EB">
        <w:t>n</w:t>
      </w:r>
      <w:r w:rsidRPr="00F1081A">
        <w:t xml:space="preserve">eed based on 2021 data: </w:t>
      </w:r>
    </w:p>
    <w:p w:rsidRPr="00F1081A" w:rsidR="00F9317F" w:rsidP="002E4D2C" w:rsidRDefault="00F9317F" w14:paraId="4F8FD0B7" w14:textId="77777777">
      <w:pPr>
        <w:pStyle w:val="ListBullet2"/>
        <w:numPr>
          <w:ilvl w:val="1"/>
          <w:numId w:val="1"/>
        </w:numPr>
        <w:spacing w:before="0" w:after="0"/>
      </w:pPr>
      <w:r w:rsidRPr="00F1081A">
        <w:t xml:space="preserve">177,550 estimated overall housing supply required by 2041 compared to current supply in 2022 of estimated 123,450 dwellings. </w:t>
      </w:r>
    </w:p>
    <w:p w:rsidRPr="00F1081A" w:rsidR="00F9317F" w:rsidP="002E4D2C" w:rsidRDefault="00F9317F" w14:paraId="5B46D9EA" w14:textId="5EC6F5D2">
      <w:pPr>
        <w:pStyle w:val="ListBullet2"/>
        <w:numPr>
          <w:ilvl w:val="1"/>
          <w:numId w:val="1"/>
        </w:numPr>
        <w:spacing w:before="0" w:after="0"/>
      </w:pPr>
      <w:r w:rsidRPr="00F1081A">
        <w:t xml:space="preserve">In 2021, there are </w:t>
      </w:r>
      <w:bookmarkStart w:name="_Hlk147927539" w:id="24"/>
      <w:r w:rsidRPr="00F1081A">
        <w:t>4,848 households (4.7</w:t>
      </w:r>
      <w:r w:rsidR="000727EB">
        <w:t xml:space="preserve"> per cent</w:t>
      </w:r>
      <w:r w:rsidRPr="00F1081A">
        <w:t xml:space="preserve">) </w:t>
      </w:r>
      <w:r w:rsidRPr="00F1081A" w:rsidR="000727EB">
        <w:t>need</w:t>
      </w:r>
      <w:r w:rsidRPr="00F1081A">
        <w:t xml:space="preserve"> affordable housing </w:t>
      </w:r>
      <w:bookmarkEnd w:id="24"/>
      <w:r w:rsidRPr="00F1081A">
        <w:t xml:space="preserve">in Greater Geelong for in the very low, low to moderate income </w:t>
      </w:r>
      <w:proofErr w:type="gramStart"/>
      <w:r w:rsidRPr="00F1081A">
        <w:t>households</w:t>
      </w:r>
      <w:proofErr w:type="gramEnd"/>
      <w:r w:rsidRPr="00F1081A">
        <w:t xml:space="preserve"> category.</w:t>
      </w:r>
    </w:p>
    <w:p w:rsidRPr="00F1081A" w:rsidR="00F9317F" w:rsidP="002E4D2C" w:rsidRDefault="00F9317F" w14:paraId="4822D341" w14:textId="43BE9C4A">
      <w:pPr>
        <w:pStyle w:val="ListBullet2"/>
        <w:numPr>
          <w:ilvl w:val="1"/>
          <w:numId w:val="1"/>
        </w:numPr>
        <w:spacing w:before="0" w:after="0"/>
      </w:pPr>
      <w:r w:rsidRPr="00F1081A">
        <w:t xml:space="preserve">Approximately 12,800 social and affordable housing dwellings are required in the </w:t>
      </w:r>
      <w:r w:rsidR="000727EB">
        <w:t>municipality</w:t>
      </w:r>
      <w:r w:rsidRPr="00F1081A">
        <w:t xml:space="preserve"> by 2041 to achieve the </w:t>
      </w:r>
      <w:r w:rsidR="000727EB">
        <w:t>seven per cent</w:t>
      </w:r>
      <w:r w:rsidRPr="00F1081A">
        <w:t xml:space="preserve"> of overall housing target set out in Geelong’s Social Housing Plan.</w:t>
      </w:r>
    </w:p>
    <w:p w:rsidR="00413DB8" w:rsidP="002E4D2C" w:rsidRDefault="00F9317F" w14:paraId="594D3475" w14:textId="77777777">
      <w:pPr>
        <w:pStyle w:val="ListBullet2"/>
        <w:numPr>
          <w:ilvl w:val="1"/>
          <w:numId w:val="1"/>
        </w:numPr>
        <w:spacing w:before="0" w:after="0"/>
      </w:pPr>
      <w:r w:rsidRPr="00F1081A">
        <w:t xml:space="preserve">The </w:t>
      </w:r>
      <w:r w:rsidR="000727EB">
        <w:t>seven per cent</w:t>
      </w:r>
      <w:r w:rsidRPr="00F1081A">
        <w:t xml:space="preserve"> target will require and estimated 23.5</w:t>
      </w:r>
      <w:r w:rsidR="000727EB">
        <w:t xml:space="preserve"> per cent</w:t>
      </w:r>
      <w:r w:rsidRPr="00F1081A">
        <w:t xml:space="preserve"> of 53,000 total new dwellings forecast by 2041.</w:t>
      </w:r>
    </w:p>
    <w:p w:rsidRPr="00F1081A" w:rsidR="001E02A8" w:rsidP="00413DB8" w:rsidRDefault="001E02A8" w14:paraId="6B18CB99" w14:textId="188B06A8">
      <w:pPr>
        <w:pStyle w:val="ListBullet2"/>
        <w:tabs>
          <w:tab w:val="clear" w:pos="360"/>
        </w:tabs>
        <w:spacing w:before="0" w:after="0"/>
        <w:ind w:left="0" w:firstLine="0"/>
      </w:pPr>
    </w:p>
    <w:p w:rsidRPr="00F1081A" w:rsidR="00F9317F" w:rsidP="00F9317F" w:rsidRDefault="00F9317F" w14:paraId="51A76261" w14:textId="1ADF19F1">
      <w:pPr>
        <w:pStyle w:val="BodyText"/>
      </w:pPr>
    </w:p>
    <w:p w:rsidRPr="00F1081A" w:rsidR="00F9317F" w:rsidP="00F9317F" w:rsidRDefault="00F9317F" w14:paraId="197C0263" w14:textId="77777777">
      <w:pPr>
        <w:pStyle w:val="BodyText"/>
        <w:rPr>
          <w:rFonts w:eastAsiaTheme="minorEastAsia"/>
          <w:b/>
        </w:rPr>
      </w:pPr>
    </w:p>
    <w:p w:rsidRPr="00F1081A" w:rsidR="00F9317F" w:rsidP="00F9317F" w:rsidRDefault="00F9317F" w14:paraId="45744E02" w14:textId="77777777">
      <w:pPr>
        <w:pStyle w:val="BodyText"/>
        <w:rPr>
          <w:rFonts w:eastAsiaTheme="minorEastAsia"/>
          <w:b/>
        </w:rPr>
      </w:pPr>
    </w:p>
    <w:p w:rsidRPr="00F1081A" w:rsidR="00F9317F" w:rsidP="00F9317F" w:rsidRDefault="00F9317F" w14:paraId="19E170FE" w14:textId="77777777">
      <w:pPr>
        <w:pStyle w:val="BodyText"/>
        <w:rPr>
          <w:rFonts w:eastAsiaTheme="minorEastAsia"/>
          <w:b/>
        </w:rPr>
      </w:pPr>
    </w:p>
    <w:p w:rsidRPr="00F1081A" w:rsidR="00F9317F" w:rsidP="00F9317F" w:rsidRDefault="00F9317F" w14:paraId="78B87C5D" w14:textId="77777777">
      <w:pPr>
        <w:pStyle w:val="BodyText"/>
        <w:rPr>
          <w:rFonts w:eastAsiaTheme="minorEastAsia"/>
          <w:b/>
        </w:rPr>
      </w:pPr>
    </w:p>
    <w:p w:rsidRPr="00F1081A" w:rsidR="00F9317F" w:rsidP="00F9317F" w:rsidRDefault="00F9317F" w14:paraId="5887EF8C" w14:textId="77777777">
      <w:pPr>
        <w:pStyle w:val="BodyText"/>
        <w:rPr>
          <w:rFonts w:eastAsiaTheme="minorEastAsia"/>
          <w:b/>
        </w:rPr>
      </w:pPr>
    </w:p>
    <w:p w:rsidRPr="00F1081A" w:rsidR="00F9317F" w:rsidP="00F9317F" w:rsidRDefault="00F9317F" w14:paraId="71FDC01F" w14:textId="77777777">
      <w:pPr>
        <w:pStyle w:val="BodyText"/>
        <w:rPr>
          <w:rFonts w:eastAsiaTheme="minorEastAsia"/>
          <w:b/>
        </w:rPr>
      </w:pPr>
    </w:p>
    <w:p w:rsidRPr="00413DB8" w:rsidR="00340B46" w:rsidP="00BF6543" w:rsidRDefault="00340B46" w14:paraId="1DED8CAA" w14:textId="5B823148">
      <w:pPr>
        <w:rPr>
          <w:b/>
        </w:rPr>
      </w:pPr>
      <w:bookmarkStart w:name="_Toc147948906" w:id="25"/>
      <w:bookmarkStart w:name="_Toc665786171" w:id="26"/>
      <w:bookmarkStart w:name="_Toc1638191875" w:id="27"/>
      <w:bookmarkStart w:name="_Toc1925895611" w:id="28"/>
      <w:r>
        <w:rPr>
          <w:b/>
        </w:rPr>
        <w:br w:type="page"/>
      </w:r>
    </w:p>
    <w:p w:rsidRPr="00F1081A" w:rsidR="00F9317F" w:rsidP="00F9317F" w:rsidRDefault="001E02A8" w14:paraId="2EC0658A" w14:textId="29B73A3E">
      <w:pPr>
        <w:pStyle w:val="Heading1"/>
        <w:framePr w:wrap="around"/>
        <w:rPr>
          <w:rFonts w:eastAsiaTheme="minorEastAsia"/>
        </w:rPr>
      </w:pPr>
      <w:bookmarkStart w:name="_Toc148697956" w:id="29"/>
      <w:r>
        <w:rPr>
          <w:rFonts w:eastAsiaTheme="minorEastAsia"/>
        </w:rPr>
        <w:t>Implications of monetary policy and tax treatment of properties</w:t>
      </w:r>
      <w:bookmarkEnd w:id="26"/>
      <w:bookmarkEnd w:id="27"/>
      <w:bookmarkEnd w:id="28"/>
      <w:bookmarkEnd w:id="29"/>
      <w:r>
        <w:rPr>
          <w:rFonts w:eastAsiaTheme="minorEastAsia"/>
        </w:rPr>
        <w:t xml:space="preserve"> </w:t>
      </w:r>
      <w:bookmarkEnd w:id="25"/>
    </w:p>
    <w:p w:rsidR="00F9317F" w:rsidP="00F60CD7" w:rsidRDefault="00F9317F" w14:paraId="0ADC7C34" w14:textId="72EDC0EB">
      <w:pPr>
        <w:pStyle w:val="Introduction"/>
      </w:pPr>
      <w:r w:rsidRPr="00F1081A">
        <w:t xml:space="preserve">This section </w:t>
      </w:r>
      <w:r w:rsidR="6F9B0F62">
        <w:t>discusse</w:t>
      </w:r>
      <w:r w:rsidR="7A71BC9D">
        <w:t>s</w:t>
      </w:r>
      <w:r w:rsidRPr="00F1081A">
        <w:t xml:space="preserve"> the issues on housing affordability in relation taxation settings and monetary and the prospects of the National Housing and Homelessness Plan.</w:t>
      </w:r>
    </w:p>
    <w:p w:rsidRPr="00F1081A" w:rsidR="00F60CD7" w:rsidP="00F60CD7" w:rsidRDefault="00F60CD7" w14:paraId="5DBF730F" w14:textId="77777777">
      <w:pPr>
        <w:pStyle w:val="BodyText"/>
      </w:pPr>
      <w:r w:rsidRPr="00F1081A">
        <w:t xml:space="preserve">Australia’s tax setting and monetary policy can both play a role in influencing housing affordability. By carefully considering the impact of tax and fiscal policy on housing affordability, the government can develop policies in the National Housing and Homelessness Plan that help to make housing more affordable for current and future Australians. </w:t>
      </w:r>
    </w:p>
    <w:p w:rsidRPr="00F1081A" w:rsidR="00F9317F" w:rsidP="00F9317F" w:rsidRDefault="00F9317F" w14:paraId="47957F21" w14:textId="17881A7C">
      <w:pPr>
        <w:pStyle w:val="Heading2"/>
        <w:rPr>
          <w:rFonts w:eastAsiaTheme="minorEastAsia"/>
        </w:rPr>
      </w:pPr>
      <w:bookmarkStart w:name="_Toc147948907" w:id="30"/>
      <w:bookmarkStart w:name="_Toc1563754402" w:id="31"/>
      <w:bookmarkStart w:name="_Toc273633455" w:id="32"/>
      <w:bookmarkStart w:name="_Toc370585419" w:id="33"/>
      <w:bookmarkStart w:name="_Toc148697957" w:id="34"/>
      <w:r w:rsidRPr="00F1081A">
        <w:rPr>
          <w:rFonts w:eastAsiaTheme="minorEastAsia"/>
        </w:rPr>
        <w:t>Housing Affordability</w:t>
      </w:r>
      <w:bookmarkEnd w:id="30"/>
      <w:bookmarkEnd w:id="31"/>
      <w:bookmarkEnd w:id="32"/>
      <w:bookmarkEnd w:id="33"/>
      <w:bookmarkEnd w:id="34"/>
    </w:p>
    <w:p w:rsidRPr="00F1081A" w:rsidR="00F9317F" w:rsidP="00F9317F" w:rsidRDefault="00F9317F" w14:paraId="4D3ADD38" w14:textId="52591A53">
      <w:pPr>
        <w:pStyle w:val="BodyText"/>
      </w:pPr>
      <w:r w:rsidRPr="00F1081A">
        <w:t xml:space="preserve">Housing affordability issues are complex and related to indirect causes such as growing population, supply and demand issues, planning, </w:t>
      </w:r>
      <w:proofErr w:type="gramStart"/>
      <w:r w:rsidRPr="00F1081A">
        <w:t>infrastructure</w:t>
      </w:r>
      <w:proofErr w:type="gramEnd"/>
      <w:r w:rsidRPr="00F1081A">
        <w:t xml:space="preserve"> and investment along with taxation at all levels of government (NHSC 2010; Yates 2008). </w:t>
      </w:r>
      <w:r w:rsidR="00F60CD7">
        <w:t>Research shows</w:t>
      </w:r>
      <w:r w:rsidRPr="00F1081A">
        <w:t xml:space="preserve"> that current taxation policy settings </w:t>
      </w:r>
      <w:r w:rsidRPr="00F1081A" w:rsidR="00F60CD7">
        <w:t>reduce</w:t>
      </w:r>
      <w:r w:rsidRPr="00F1081A">
        <w:t xml:space="preserve"> housing affordability by impacting house prices, reduce mobility, adding to intergenerational wealth gap and reform on tax settings will be required (Wood, Ong et al. 2010; Wood and Winter 2012; Wood, Ong et al. 2014; Worthington 2012; Yates 2011, 2012). Reforms in housing related taxation and transfer system can significantly improve outcomes in housing affordability (Eccleston et al 2018). </w:t>
      </w:r>
    </w:p>
    <w:p w:rsidRPr="00F1081A" w:rsidR="00F9317F" w:rsidP="00F9317F" w:rsidRDefault="00F9317F" w14:paraId="14F56106" w14:textId="17CAA8C0">
      <w:pPr>
        <w:pStyle w:val="Heading2"/>
        <w:rPr>
          <w:rFonts w:eastAsiaTheme="minorEastAsia"/>
        </w:rPr>
      </w:pPr>
      <w:bookmarkStart w:name="_Toc147948908" w:id="35"/>
      <w:bookmarkStart w:name="_Toc653042906" w:id="36"/>
      <w:bookmarkStart w:name="_Toc169785012" w:id="37"/>
      <w:bookmarkStart w:name="_Toc1859058666" w:id="38"/>
      <w:bookmarkStart w:name="_Toc148697958" w:id="39"/>
      <w:r w:rsidRPr="00F1081A">
        <w:rPr>
          <w:rFonts w:eastAsiaTheme="minorEastAsia"/>
        </w:rPr>
        <w:t xml:space="preserve">Monetary </w:t>
      </w:r>
      <w:r w:rsidR="003969E3">
        <w:rPr>
          <w:rFonts w:eastAsiaTheme="minorEastAsia"/>
        </w:rPr>
        <w:t>p</w:t>
      </w:r>
      <w:r w:rsidRPr="00F1081A">
        <w:rPr>
          <w:rFonts w:eastAsiaTheme="minorEastAsia"/>
        </w:rPr>
        <w:t xml:space="preserve">olicies and </w:t>
      </w:r>
      <w:r w:rsidR="003969E3">
        <w:rPr>
          <w:rFonts w:eastAsiaTheme="minorEastAsia"/>
        </w:rPr>
        <w:t>h</w:t>
      </w:r>
      <w:r w:rsidRPr="00F1081A">
        <w:rPr>
          <w:rFonts w:eastAsiaTheme="minorEastAsia"/>
        </w:rPr>
        <w:t xml:space="preserve">ousing </w:t>
      </w:r>
      <w:r w:rsidR="003969E3">
        <w:rPr>
          <w:rFonts w:eastAsiaTheme="minorEastAsia"/>
        </w:rPr>
        <w:t>d</w:t>
      </w:r>
      <w:r w:rsidRPr="00F1081A">
        <w:rPr>
          <w:rFonts w:eastAsiaTheme="minorEastAsia"/>
        </w:rPr>
        <w:t>emand</w:t>
      </w:r>
      <w:bookmarkEnd w:id="35"/>
      <w:bookmarkEnd w:id="36"/>
      <w:bookmarkEnd w:id="37"/>
      <w:bookmarkEnd w:id="38"/>
      <w:bookmarkEnd w:id="39"/>
    </w:p>
    <w:p w:rsidRPr="00F1081A" w:rsidR="00666AA1" w:rsidP="00666AA1" w:rsidRDefault="00666AA1" w14:paraId="2497E618" w14:textId="5F0BE770">
      <w:pPr>
        <w:pStyle w:val="BodyText"/>
      </w:pPr>
      <w:r w:rsidRPr="00F1081A">
        <w:t xml:space="preserve">Monetary policies are required to achieve a range of economic goals, including price stability, economic growth, and employment targets. Monetary policies can also have unintended consequences, such as increasing or decreasing house prices although the intent of the policy is not directly targeted towards housing. The relationship between housing and monetary policy is multi-dimensional and complex. </w:t>
      </w:r>
    </w:p>
    <w:p w:rsidRPr="00F1081A" w:rsidR="00666AA1" w:rsidP="00666AA1" w:rsidRDefault="00666AA1" w14:paraId="7262E20F" w14:textId="3DAE33F4">
      <w:pPr>
        <w:pStyle w:val="BodyText"/>
      </w:pPr>
      <w:r w:rsidRPr="00F1081A">
        <w:t xml:space="preserve">It is important for policy options to consider the impact of interest rates and supply responsiveness from developers (Ong et.al 2017). Interest rates movement affect not only developers but owner occupiers and investors that purchase properties from the housing market. Higher interest rates mean less participation in the market by owner occupiers and investors which reduces demand. </w:t>
      </w:r>
    </w:p>
    <w:p w:rsidRPr="00F1081A" w:rsidR="00666AA1" w:rsidP="00666AA1" w:rsidRDefault="00666AA1" w14:paraId="1B495C2E" w14:textId="77777777">
      <w:pPr>
        <w:pStyle w:val="BodyText"/>
      </w:pPr>
      <w:r w:rsidRPr="00F1081A">
        <w:t xml:space="preserve">The availability and cost of finance is a critical driver of housing supply by which developers respond to (Rowley and </w:t>
      </w:r>
      <w:proofErr w:type="spellStart"/>
      <w:r w:rsidRPr="00F1081A">
        <w:t>Phibbs</w:t>
      </w:r>
      <w:proofErr w:type="spellEnd"/>
      <w:r w:rsidRPr="00F1081A">
        <w:t xml:space="preserve"> 2012; Hwang and Quigley 2006). When interest rate</w:t>
      </w:r>
      <w:r>
        <w:t>s</w:t>
      </w:r>
      <w:r w:rsidRPr="00F1081A">
        <w:t xml:space="preserve"> rise, it becomes more difficult for developers to obtain finance, even if it is available, the</w:t>
      </w:r>
      <w:r>
        <w:t>re</w:t>
      </w:r>
      <w:r w:rsidRPr="00F1081A">
        <w:t xml:space="preserve"> are significant increase of risk to finance development projects. This will add more pressure to the available supply as less housing are being delivered, particularly in the rental market. </w:t>
      </w:r>
    </w:p>
    <w:p w:rsidR="00666AA1" w:rsidP="00666AA1" w:rsidRDefault="00666AA1" w14:paraId="686214F8" w14:textId="77777777">
      <w:pPr>
        <w:pStyle w:val="BodyText"/>
      </w:pPr>
      <w:r w:rsidRPr="00F1081A">
        <w:t>The National Housing and Homelessness Plan should have provisions that incentivise developers to deliver counter cyclical housing projects that meet the objectives of national urban policy in achieving consistent supply of housing that is based on need for social and affordable housing.</w:t>
      </w:r>
    </w:p>
    <w:p w:rsidRPr="00F1081A" w:rsidR="00F9317F" w:rsidP="00F9317F" w:rsidRDefault="00F9317F" w14:paraId="20B836BA" w14:textId="27E3DCA0">
      <w:pPr>
        <w:pStyle w:val="BodyText"/>
      </w:pPr>
      <w:r w:rsidRPr="00F1081A">
        <w:t xml:space="preserve">The availability and cost of finance is a critical driver of housing supply by which developers respond to (Rowley and </w:t>
      </w:r>
      <w:proofErr w:type="spellStart"/>
      <w:r w:rsidRPr="00F1081A">
        <w:t>Phibbs</w:t>
      </w:r>
      <w:proofErr w:type="spellEnd"/>
      <w:r w:rsidRPr="00F1081A">
        <w:t xml:space="preserve"> 2012; Hwang and Quigley 2006). When interest rate</w:t>
      </w:r>
      <w:r w:rsidR="00F60CD7">
        <w:t>s</w:t>
      </w:r>
      <w:r w:rsidRPr="00F1081A">
        <w:t xml:space="preserve"> rise, it becomes more difficult for developers to obtain finance, even if it is available, the</w:t>
      </w:r>
      <w:r w:rsidR="00F60CD7">
        <w:t>re</w:t>
      </w:r>
      <w:r w:rsidRPr="00F1081A">
        <w:t xml:space="preserve"> are significant increase of risk to finance development projects. This will add more pressure to the available supply as less housing are being delivered, particularly in the rental market. </w:t>
      </w:r>
    </w:p>
    <w:p w:rsidR="00F9317F" w:rsidP="00F9317F" w:rsidRDefault="00F9317F" w14:paraId="7E514F26" w14:textId="7C02C4DB">
      <w:pPr>
        <w:pStyle w:val="BodyText"/>
      </w:pPr>
      <w:r w:rsidRPr="00F1081A">
        <w:t>The National Housing and Homelessness Plan should have provisions that incentivise developers to deliver counter cyclical housing projects that meet the objectives of national urban policy in achieving consistent supply of housing that is based on need for social and affordable housing.</w:t>
      </w:r>
    </w:p>
    <w:p w:rsidRPr="00F1081A" w:rsidR="00F9317F" w:rsidP="00F9317F" w:rsidRDefault="00F9317F" w14:paraId="10566EAD" w14:textId="4674E050">
      <w:pPr>
        <w:pStyle w:val="Heading2"/>
        <w:rPr>
          <w:rFonts w:eastAsiaTheme="minorEastAsia"/>
        </w:rPr>
      </w:pPr>
      <w:bookmarkStart w:name="_Toc147948909" w:id="40"/>
      <w:bookmarkStart w:name="_Toc1818685215" w:id="41"/>
      <w:bookmarkStart w:name="_Toc146074634" w:id="42"/>
      <w:bookmarkStart w:name="_Toc616539751" w:id="43"/>
      <w:bookmarkStart w:name="_Toc148697959" w:id="44"/>
      <w:r w:rsidRPr="00F1081A">
        <w:rPr>
          <w:rFonts w:eastAsiaTheme="minorEastAsia"/>
        </w:rPr>
        <w:t xml:space="preserve">Tax </w:t>
      </w:r>
      <w:r w:rsidR="003969E3">
        <w:rPr>
          <w:rFonts w:eastAsiaTheme="minorEastAsia"/>
        </w:rPr>
        <w:t>t</w:t>
      </w:r>
      <w:r w:rsidRPr="00F1081A">
        <w:rPr>
          <w:rFonts w:eastAsiaTheme="minorEastAsia"/>
        </w:rPr>
        <w:t xml:space="preserve">reatment of </w:t>
      </w:r>
      <w:r w:rsidR="003969E3">
        <w:rPr>
          <w:rFonts w:eastAsiaTheme="minorEastAsia"/>
        </w:rPr>
        <w:t>p</w:t>
      </w:r>
      <w:r w:rsidRPr="00F1081A">
        <w:rPr>
          <w:rFonts w:eastAsiaTheme="minorEastAsia"/>
        </w:rPr>
        <w:t>roperty</w:t>
      </w:r>
      <w:bookmarkEnd w:id="40"/>
      <w:bookmarkEnd w:id="41"/>
      <w:bookmarkEnd w:id="42"/>
      <w:bookmarkEnd w:id="43"/>
      <w:bookmarkEnd w:id="44"/>
    </w:p>
    <w:p w:rsidRPr="00F1081A" w:rsidR="00F9317F" w:rsidP="00F9317F" w:rsidRDefault="00F9317F" w14:paraId="5EE09EB7" w14:textId="607021DE">
      <w:pPr>
        <w:pStyle w:val="BodyText"/>
      </w:pPr>
      <w:r w:rsidRPr="00F1081A">
        <w:t>There has been substantial academic analysis (Wood, Ong et al. 2014; Evans and Krever 2009 Worthington 2012; Yates 2008; Disney 2006), national enquiries (Harmer et al. 2009) and discussions from government (Australian Government 2015) to independent institutions such as Grattan Institute (Coates et al. 2018; Daley and Coates 2015), about implications of property tax treatment as one of the many factors that contribute to problems in the housing market, including the income that property generates as investment asset</w:t>
      </w:r>
      <w:r w:rsidR="00181A9A">
        <w:t>s</w:t>
      </w:r>
      <w:r w:rsidRPr="00F1081A">
        <w:t xml:space="preserve">. It was purported that tax treatment and settings influence the provision of: </w:t>
      </w:r>
    </w:p>
    <w:p w:rsidRPr="00F1081A" w:rsidR="00F9317F" w:rsidP="6BBC7576" w:rsidRDefault="00F9317F" w14:paraId="7E8D8C68" w14:textId="4B83AC5D">
      <w:pPr>
        <w:pStyle w:val="ListBullet"/>
        <w:numPr>
          <w:ilvl w:val="0"/>
          <w:numId w:val="1"/>
        </w:numPr>
      </w:pPr>
      <w:r w:rsidRPr="00F1081A">
        <w:t xml:space="preserve">new housing supply and land use, </w:t>
      </w:r>
      <w:r w:rsidR="785C28AD">
        <w:t xml:space="preserve"> </w:t>
      </w:r>
    </w:p>
    <w:p w:rsidRPr="00F1081A" w:rsidR="00F9317F" w:rsidP="6BBC7576" w:rsidRDefault="00F9317F" w14:paraId="574B24B7" w14:textId="2D5BCD01">
      <w:pPr>
        <w:pStyle w:val="ListBullet"/>
        <w:numPr>
          <w:ilvl w:val="0"/>
          <w:numId w:val="1"/>
        </w:numPr>
      </w:pPr>
      <w:r w:rsidRPr="00F1081A">
        <w:t xml:space="preserve">the demand for housing by level of investment in relation to other assets classes, </w:t>
      </w:r>
    </w:p>
    <w:p w:rsidRPr="00F1081A" w:rsidR="00F9317F" w:rsidP="6BBC7576" w:rsidRDefault="00F9317F" w14:paraId="32EF23D4" w14:textId="307C31C1">
      <w:pPr>
        <w:pStyle w:val="ListBullet"/>
        <w:numPr>
          <w:ilvl w:val="0"/>
          <w:numId w:val="1"/>
        </w:numPr>
      </w:pPr>
      <w:r w:rsidRPr="00F1081A">
        <w:t xml:space="preserve">labour mobility </w:t>
      </w:r>
    </w:p>
    <w:p w:rsidRPr="00F1081A" w:rsidR="00F9317F" w:rsidP="6BBC7576" w:rsidRDefault="00F9317F" w14:paraId="1468A6CA" w14:textId="62E1E6C8">
      <w:pPr>
        <w:pStyle w:val="ListBullet"/>
        <w:numPr>
          <w:ilvl w:val="0"/>
          <w:numId w:val="1"/>
        </w:numPr>
      </w:pPr>
      <w:r w:rsidRPr="00F1081A">
        <w:t>the capacity for housing mobility with changing needs of households</w:t>
      </w:r>
    </w:p>
    <w:p w:rsidRPr="00F1081A" w:rsidR="00F9317F" w:rsidP="00F9317F" w:rsidRDefault="00F9317F" w14:paraId="0DD3595F" w14:textId="2006C09B">
      <w:pPr>
        <w:pStyle w:val="BodyText"/>
      </w:pPr>
      <w:r w:rsidRPr="00F1081A">
        <w:t xml:space="preserve">Federal level income tax arrangements can have indirect but significant impact on housing market decisions by property owners including both owner occupiers and rental investors. </w:t>
      </w:r>
      <w:r w:rsidR="00181A9A">
        <w:t>N</w:t>
      </w:r>
      <w:r w:rsidRPr="00F1081A">
        <w:t>egative gearing allow</w:t>
      </w:r>
      <w:r w:rsidR="00181A9A">
        <w:t>s</w:t>
      </w:r>
      <w:r w:rsidRPr="00F1081A">
        <w:t xml:space="preserve"> investors to deduct ongoing expenses and losses pertaining to their rental property in their taxable income. These provisions encourage investors to invest in properties as rental housing, leading to a tax reform discussion that negative may impact the private rental market and supply of housing. (Ong. Wood et al. 2011).</w:t>
      </w:r>
      <w:r w:rsidR="008B1006">
        <w:t xml:space="preserve"> </w:t>
      </w:r>
      <w:bookmarkStart w:name="_Hlk148685554" w:id="45"/>
      <w:r w:rsidR="008B1006">
        <w:t>At the federal level, r</w:t>
      </w:r>
      <w:r w:rsidRPr="008B1006" w:rsidR="008B1006">
        <w:t xml:space="preserve">eform pathways for federal tax policies </w:t>
      </w:r>
      <w:r w:rsidR="008B1006">
        <w:t>will be required such as</w:t>
      </w:r>
      <w:r w:rsidRPr="008B1006" w:rsidR="008B1006">
        <w:t xml:space="preserve"> a cap on negative gearing </w:t>
      </w:r>
      <w:r w:rsidR="008B1006">
        <w:t xml:space="preserve">and </w:t>
      </w:r>
      <w:r w:rsidRPr="008B1006" w:rsidR="008B1006">
        <w:t>C</w:t>
      </w:r>
      <w:r w:rsidR="008B1006">
        <w:t xml:space="preserve">apital </w:t>
      </w:r>
      <w:r w:rsidRPr="008B1006" w:rsidR="008B1006">
        <w:t>G</w:t>
      </w:r>
      <w:r w:rsidR="008B1006">
        <w:t xml:space="preserve">ains </w:t>
      </w:r>
      <w:r w:rsidRPr="008B1006" w:rsidR="008B1006">
        <w:t>T</w:t>
      </w:r>
      <w:r w:rsidR="008B1006">
        <w:t>ax</w:t>
      </w:r>
      <w:r w:rsidRPr="008B1006" w:rsidR="008B1006">
        <w:t xml:space="preserve"> discount for investment properties to be reduced over a time</w:t>
      </w:r>
      <w:r w:rsidR="000E7E6D">
        <w:t xml:space="preserve">. </w:t>
      </w:r>
      <w:r w:rsidR="008C331E">
        <w:t xml:space="preserve">The </w:t>
      </w:r>
      <w:r w:rsidR="00806BEA">
        <w:t xml:space="preserve">impact of these </w:t>
      </w:r>
      <w:r w:rsidR="002F2FC6">
        <w:t>tax</w:t>
      </w:r>
      <w:r w:rsidR="00806BEA">
        <w:t xml:space="preserve"> adjustments </w:t>
      </w:r>
      <w:r w:rsidR="00170741">
        <w:t xml:space="preserve">that </w:t>
      </w:r>
      <w:r w:rsidR="00272ADE">
        <w:t xml:space="preserve">disincentivise </w:t>
      </w:r>
      <w:r w:rsidR="00B946C9">
        <w:t xml:space="preserve">individual </w:t>
      </w:r>
      <w:r w:rsidR="00272ADE">
        <w:t>investments</w:t>
      </w:r>
      <w:r w:rsidR="00B946C9">
        <w:t xml:space="preserve"> in property can be </w:t>
      </w:r>
      <w:r w:rsidR="002F2FC6">
        <w:t xml:space="preserve">balanced with </w:t>
      </w:r>
      <w:r w:rsidR="004B15D6">
        <w:t xml:space="preserve">redirecting a proportion of these </w:t>
      </w:r>
      <w:r w:rsidR="00980FF5">
        <w:t xml:space="preserve">tax adjustments to fund </w:t>
      </w:r>
      <w:r w:rsidR="008D308B">
        <w:t>counter</w:t>
      </w:r>
      <w:r w:rsidR="00272ADE">
        <w:t xml:space="preserve"> </w:t>
      </w:r>
      <w:r w:rsidR="00980FF5">
        <w:t xml:space="preserve">cyclical </w:t>
      </w:r>
      <w:r w:rsidR="00675575">
        <w:t xml:space="preserve">housing </w:t>
      </w:r>
      <w:r w:rsidR="002054CF">
        <w:t xml:space="preserve">initiatives such as affordable housing </w:t>
      </w:r>
      <w:r w:rsidR="00C74301">
        <w:t xml:space="preserve">and its related </w:t>
      </w:r>
      <w:r w:rsidR="00D83756">
        <w:t xml:space="preserve">land or </w:t>
      </w:r>
      <w:r w:rsidR="00C74301">
        <w:t>infrastructure</w:t>
      </w:r>
      <w:r w:rsidR="00D83756">
        <w:t xml:space="preserve"> projects</w:t>
      </w:r>
      <w:r w:rsidR="00C74301">
        <w:t>.</w:t>
      </w:r>
      <w:r w:rsidR="00B946C9">
        <w:t xml:space="preserve"> </w:t>
      </w:r>
      <w:r w:rsidR="00272ADE">
        <w:t xml:space="preserve"> </w:t>
      </w:r>
      <w:bookmarkEnd w:id="45"/>
    </w:p>
    <w:p w:rsidR="00181A9A" w:rsidP="00F9317F" w:rsidRDefault="00F9317F" w14:paraId="1BDB8482" w14:textId="0540577F">
      <w:pPr>
        <w:pStyle w:val="BodyText"/>
      </w:pPr>
      <w:r w:rsidRPr="00F1081A">
        <w:t xml:space="preserve">Taxation at the state level indirectly influences housing supply in </w:t>
      </w:r>
      <w:r w:rsidRPr="00F1081A" w:rsidR="00181A9A">
        <w:t>many ways</w:t>
      </w:r>
      <w:r w:rsidRPr="00F1081A">
        <w:t xml:space="preserve">. Stamp duties are a tax on property transfers and are seen as a barrier to housing supply as it affects not only investors in properties but developers purchasing land to develop incurs stamp duty liability in the process. Windfall Gains Tax for rezoning of land imposes a levy on landowners for unearned profit but may require developers to undertake more risk if the landowners decide to pass on the cost to developers. A developer may decide to be more selective in development projects with consequences on supply of land and housing. </w:t>
      </w:r>
    </w:p>
    <w:p w:rsidRPr="00F1081A" w:rsidR="00F9317F" w:rsidP="00F9317F" w:rsidRDefault="00181A9A" w14:paraId="001837A8" w14:textId="1FF1925E">
      <w:pPr>
        <w:pStyle w:val="BodyText"/>
      </w:pPr>
      <w:r>
        <w:t>A p</w:t>
      </w:r>
      <w:r w:rsidRPr="00F1081A" w:rsidR="00F9317F">
        <w:t xml:space="preserve">roportion of these value capture </w:t>
      </w:r>
      <w:r>
        <w:t xml:space="preserve">outcomes </w:t>
      </w:r>
      <w:r w:rsidRPr="00F1081A" w:rsidR="00F9317F">
        <w:t>and lev</w:t>
      </w:r>
      <w:r>
        <w:t>ies</w:t>
      </w:r>
      <w:r w:rsidRPr="00F1081A" w:rsidR="00F9317F">
        <w:t xml:space="preserve"> </w:t>
      </w:r>
      <w:r>
        <w:t>could</w:t>
      </w:r>
      <w:r w:rsidRPr="00F1081A" w:rsidR="00F9317F">
        <w:t xml:space="preserve"> be reinvested (through funding or financing) to incentivise developers and landowners to provide housing that </w:t>
      </w:r>
      <w:r>
        <w:t xml:space="preserve">is </w:t>
      </w:r>
      <w:r w:rsidRPr="00F1081A" w:rsidR="00F9317F">
        <w:t>based on need, such as social and affordable housing to maintain the continuity of housing supply.</w:t>
      </w:r>
    </w:p>
    <w:p w:rsidRPr="00F1081A" w:rsidR="00F9317F" w:rsidP="00F9317F" w:rsidRDefault="00F9317F" w14:paraId="766861FB" w14:textId="77777777">
      <w:pPr>
        <w:pStyle w:val="BodyText"/>
        <w:rPr>
          <w:rFonts w:eastAsiaTheme="minorEastAsia"/>
          <w:b/>
        </w:rPr>
      </w:pPr>
    </w:p>
    <w:p w:rsidRPr="00F1081A" w:rsidR="00F9317F" w:rsidP="00F9317F" w:rsidRDefault="00F9317F" w14:paraId="1E97485F" w14:textId="77777777">
      <w:pPr>
        <w:pStyle w:val="BodyText"/>
        <w:rPr>
          <w:rFonts w:eastAsiaTheme="minorEastAsia"/>
          <w:b/>
        </w:rPr>
      </w:pPr>
    </w:p>
    <w:p w:rsidRPr="00F1081A" w:rsidR="00F9317F" w:rsidP="00F9317F" w:rsidRDefault="00181A9A" w14:paraId="2CC01597" w14:textId="77EC686C">
      <w:pPr>
        <w:pStyle w:val="Heading1"/>
        <w:framePr w:wrap="around"/>
        <w:rPr>
          <w:rFonts w:eastAsiaTheme="minorEastAsia"/>
        </w:rPr>
      </w:pPr>
      <w:bookmarkStart w:name="_Toc147948910" w:id="46"/>
      <w:bookmarkStart w:name="_Toc1061103208" w:id="47"/>
      <w:bookmarkStart w:name="_Toc1010999158" w:id="48"/>
      <w:bookmarkStart w:name="_Toc204699292" w:id="49"/>
      <w:bookmarkStart w:name="_Toc148697960" w:id="50"/>
      <w:r>
        <w:rPr>
          <w:rFonts w:eastAsiaTheme="minorEastAsia"/>
        </w:rPr>
        <w:t>Improving access to social and affordable housing in Geelong</w:t>
      </w:r>
      <w:bookmarkEnd w:id="47"/>
      <w:bookmarkEnd w:id="48"/>
      <w:bookmarkEnd w:id="49"/>
      <w:bookmarkEnd w:id="50"/>
      <w:r>
        <w:rPr>
          <w:rFonts w:eastAsiaTheme="minorEastAsia"/>
        </w:rPr>
        <w:t xml:space="preserve"> </w:t>
      </w:r>
      <w:bookmarkEnd w:id="46"/>
    </w:p>
    <w:p w:rsidR="34EEB63C" w:rsidP="181883BF" w:rsidRDefault="34EEB63C" w14:paraId="20A3C790" w14:textId="3285BD9E">
      <w:pPr>
        <w:pStyle w:val="Introduction"/>
      </w:pPr>
      <w:r>
        <w:t>This section discussed the issues</w:t>
      </w:r>
      <w:r w:rsidR="3BC201E1">
        <w:t xml:space="preserve">, </w:t>
      </w:r>
      <w:r w:rsidR="2D2A69EA">
        <w:t>barrier</w:t>
      </w:r>
      <w:r w:rsidR="4FC8BDEF">
        <w:t xml:space="preserve"> and need to improve access</w:t>
      </w:r>
      <w:r>
        <w:t xml:space="preserve"> </w:t>
      </w:r>
      <w:r w:rsidR="5FF5C677">
        <w:t>to increase</w:t>
      </w:r>
      <w:r>
        <w:t xml:space="preserve"> social and affordab</w:t>
      </w:r>
      <w:r w:rsidR="5EA3B68B">
        <w:t>le housin</w:t>
      </w:r>
      <w:r w:rsidR="0048534B">
        <w:t>g</w:t>
      </w:r>
      <w:r>
        <w:t>.</w:t>
      </w:r>
    </w:p>
    <w:p w:rsidR="00181A9A" w:rsidP="00F9317F" w:rsidRDefault="00F9317F" w14:paraId="6104F85C" w14:textId="31011AC7">
      <w:pPr>
        <w:pStyle w:val="BodyText"/>
      </w:pPr>
      <w:r w:rsidRPr="00F1081A">
        <w:t>There</w:t>
      </w:r>
      <w:r w:rsidR="00FF3CC2">
        <w:t xml:space="preserve"> are</w:t>
      </w:r>
      <w:r w:rsidRPr="00F1081A">
        <w:t xml:space="preserve"> an estimated 4,848 households (4.7</w:t>
      </w:r>
      <w:r w:rsidR="00181A9A">
        <w:t xml:space="preserve"> per cent</w:t>
      </w:r>
      <w:r w:rsidRPr="00F1081A">
        <w:t xml:space="preserve"> of all households) that </w:t>
      </w:r>
      <w:r w:rsidRPr="00F1081A" w:rsidR="00FF3CC2">
        <w:t>need</w:t>
      </w:r>
      <w:r w:rsidRPr="00F1081A">
        <w:t xml:space="preserve"> affordable housing</w:t>
      </w:r>
      <w:r w:rsidR="004C7CB6">
        <w:t>, including social housing</w:t>
      </w:r>
      <w:r w:rsidRPr="00F1081A">
        <w:t xml:space="preserve"> based on the 2021 Census data analysis (.id 2023). </w:t>
      </w:r>
    </w:p>
    <w:p w:rsidRPr="00F1081A" w:rsidR="00F9317F" w:rsidP="00F9317F" w:rsidRDefault="00F9317F" w14:paraId="60091AB8" w14:textId="03636594">
      <w:pPr>
        <w:pStyle w:val="BodyText"/>
      </w:pPr>
      <w:r w:rsidRPr="00F1081A">
        <w:t>The City</w:t>
      </w:r>
      <w:r w:rsidR="00181A9A">
        <w:t xml:space="preserve"> of Greater Geelong’s</w:t>
      </w:r>
      <w:r w:rsidRPr="00F1081A">
        <w:t xml:space="preserve"> Social Housing Plan </w:t>
      </w:r>
      <w:r w:rsidR="00E80623">
        <w:t xml:space="preserve">seeks </w:t>
      </w:r>
      <w:r w:rsidRPr="00F1081A">
        <w:t>seven per</w:t>
      </w:r>
      <w:r w:rsidR="00181A9A">
        <w:t xml:space="preserve"> </w:t>
      </w:r>
      <w:r w:rsidRPr="00F1081A">
        <w:t>cent social and affordable housing that is for the very low to moderate income household</w:t>
      </w:r>
      <w:r w:rsidR="00181A9A">
        <w:t>s</w:t>
      </w:r>
      <w:r w:rsidR="00E80623">
        <w:t xml:space="preserve"> by 2041</w:t>
      </w:r>
      <w:r w:rsidR="6D08F0E2">
        <w:t xml:space="preserve"> (</w:t>
      </w:r>
      <w:proofErr w:type="spellStart"/>
      <w:r w:rsidR="6D08F0E2">
        <w:t>CoGG</w:t>
      </w:r>
      <w:proofErr w:type="spellEnd"/>
      <w:r w:rsidR="6D08F0E2">
        <w:t xml:space="preserve"> 2021)</w:t>
      </w:r>
      <w:r>
        <w:t>.</w:t>
      </w:r>
      <w:r w:rsidRPr="00F1081A">
        <w:t xml:space="preserve"> There are 12,800 remaining social housing dwellings required to achieve the</w:t>
      </w:r>
      <w:r w:rsidR="00181A9A">
        <w:t xml:space="preserve"> target</w:t>
      </w:r>
      <w:r w:rsidRPr="00F1081A">
        <w:t>. It will require 23.5</w:t>
      </w:r>
      <w:r w:rsidR="00181A9A">
        <w:t xml:space="preserve"> per cent</w:t>
      </w:r>
      <w:r w:rsidRPr="00F1081A">
        <w:t xml:space="preserve"> of all new dwellings to be delivered as social housing from now until 2041, which is a significant gap to fill.</w:t>
      </w:r>
    </w:p>
    <w:p w:rsidR="00E80623" w:rsidP="00F9317F" w:rsidRDefault="00F9317F" w14:paraId="22AA7A6F" w14:textId="339A4C4B">
      <w:pPr>
        <w:pStyle w:val="BodyText"/>
      </w:pPr>
      <w:r w:rsidRPr="00F1081A">
        <w:t>In general,</w:t>
      </w:r>
      <w:r w:rsidR="00181A9A">
        <w:t xml:space="preserve"> the</w:t>
      </w:r>
      <w:r w:rsidRPr="00F1081A">
        <w:t xml:space="preserve"> funding gap was found to be one of key issues in social and affordable housing delivery, causing </w:t>
      </w:r>
      <w:r w:rsidR="00E80623">
        <w:t xml:space="preserve">a back log </w:t>
      </w:r>
      <w:r w:rsidR="0DC1FFDA">
        <w:t>o</w:t>
      </w:r>
      <w:r w:rsidR="11E9C09E">
        <w:t>f</w:t>
      </w:r>
      <w:r w:rsidR="00E80623">
        <w:t xml:space="preserve"> </w:t>
      </w:r>
      <w:r w:rsidRPr="00F1081A">
        <w:t xml:space="preserve">major supply, </w:t>
      </w:r>
      <w:proofErr w:type="gramStart"/>
      <w:r w:rsidRPr="00F1081A" w:rsidR="00181A9A">
        <w:t>maintenance</w:t>
      </w:r>
      <w:proofErr w:type="gramEnd"/>
      <w:r w:rsidR="00181A9A">
        <w:t xml:space="preserve"> </w:t>
      </w:r>
      <w:r w:rsidRPr="00F1081A">
        <w:t xml:space="preserve">and renewal. </w:t>
      </w:r>
      <w:r w:rsidR="00181A9A">
        <w:t>The f</w:t>
      </w:r>
      <w:r w:rsidRPr="00F1081A">
        <w:t xml:space="preserve">unding gap exists due to the gap between the cost of development and low revenues from </w:t>
      </w:r>
      <w:r w:rsidRPr="00F1081A" w:rsidR="00181A9A">
        <w:t>low-income</w:t>
      </w:r>
      <w:r w:rsidRPr="00F1081A">
        <w:t xml:space="preserve"> tenants, making the social housing investments and delivery not viable from a financial feasibility perspective (Lawson J. et al 2018).</w:t>
      </w:r>
      <w:r w:rsidR="00E80623">
        <w:t xml:space="preserve"> </w:t>
      </w:r>
      <w:r w:rsidRPr="00F1081A" w:rsidR="00E80623">
        <w:t>There is very limited ability for social housing developments to carry debt even with Commonwealth Rental Assistance</w:t>
      </w:r>
      <w:r w:rsidR="00E80623">
        <w:t xml:space="preserve">. </w:t>
      </w:r>
      <w:r w:rsidRPr="00F1081A">
        <w:t xml:space="preserve">Because of the funding gap, other measures were required to reduce operating and development costs leading up reduced renovation and construction, impacting on the quality and supply of new stock over the past 20 years. </w:t>
      </w:r>
    </w:p>
    <w:p w:rsidRPr="00F1081A" w:rsidR="00F9317F" w:rsidP="00F9317F" w:rsidRDefault="00181A9A" w14:paraId="5852EF04" w14:textId="5598BB5C">
      <w:pPr>
        <w:pStyle w:val="BodyText"/>
      </w:pPr>
      <w:r>
        <w:t xml:space="preserve">A </w:t>
      </w:r>
      <w:r w:rsidRPr="00F1081A" w:rsidR="00F9317F">
        <w:t>productive housing system should include social affordable housing in creating value, increas</w:t>
      </w:r>
      <w:r w:rsidR="00E80623">
        <w:t>ing</w:t>
      </w:r>
      <w:r w:rsidRPr="00F1081A" w:rsidR="00F9317F">
        <w:t xml:space="preserve"> innovation </w:t>
      </w:r>
      <w:r w:rsidRPr="00F1081A">
        <w:t>through</w:t>
      </w:r>
      <w:r>
        <w:t>o</w:t>
      </w:r>
      <w:r w:rsidRPr="00F1081A">
        <w:t>ut</w:t>
      </w:r>
      <w:r w:rsidRPr="00F1081A" w:rsidR="00F9317F">
        <w:t xml:space="preserve"> its supply </w:t>
      </w:r>
      <w:r w:rsidRPr="00F1081A" w:rsidR="00E80623">
        <w:t>chain,</w:t>
      </w:r>
      <w:r w:rsidRPr="00F1081A" w:rsidR="00F9317F">
        <w:t xml:space="preserve"> and align</w:t>
      </w:r>
      <w:r w:rsidR="00E80623">
        <w:t>ing</w:t>
      </w:r>
      <w:r w:rsidRPr="00F1081A" w:rsidR="00F9317F">
        <w:t xml:space="preserve"> with urban planning objectives to make the best use of land resources and drive toward a liveable, more </w:t>
      </w:r>
      <w:proofErr w:type="gramStart"/>
      <w:r w:rsidRPr="00F1081A" w:rsidR="00F9317F">
        <w:t>inclusive</w:t>
      </w:r>
      <w:proofErr w:type="gramEnd"/>
      <w:r w:rsidRPr="00F1081A" w:rsidR="00F9317F">
        <w:t xml:space="preserve"> and sustainable outcomes through investments in social affordable housing.</w:t>
      </w:r>
    </w:p>
    <w:p w:rsidRPr="00F1081A" w:rsidR="00F9317F" w:rsidP="00F9317F" w:rsidRDefault="00F9317F" w14:paraId="5C5A3665" w14:textId="77777777">
      <w:pPr>
        <w:pStyle w:val="BodyText"/>
      </w:pPr>
      <w:r w:rsidRPr="00F1081A">
        <w:t xml:space="preserve">As of March 2022, the </w:t>
      </w:r>
      <w:r w:rsidR="00E80623">
        <w:t>c</w:t>
      </w:r>
      <w:r w:rsidRPr="00F1081A">
        <w:t>ity recorded a total of 4,988 social housing dwellings, representing 4</w:t>
      </w:r>
      <w:r w:rsidR="00E80623">
        <w:t xml:space="preserve"> per cent</w:t>
      </w:r>
      <w:r w:rsidRPr="00F1081A">
        <w:t xml:space="preserve"> of the total dwellings in the </w:t>
      </w:r>
      <w:r w:rsidR="00E80623">
        <w:t>municipality</w:t>
      </w:r>
      <w:r w:rsidRPr="00F1081A">
        <w:t>. This is a 16</w:t>
      </w:r>
      <w:r w:rsidR="00E80623">
        <w:t xml:space="preserve"> per cent</w:t>
      </w:r>
      <w:r w:rsidRPr="00F1081A">
        <w:t xml:space="preserve"> increase in social housing since the adoption of the Social Housing Plan. There are approximately 200 additional dwellings anticipated for Greater Geelong funded by the Big Housing Build. These dwellings are currently in the planning stages and delivery is expected to take place in the next 2-3 years. These increases are mostly funded through the</w:t>
      </w:r>
      <w:r w:rsidR="00E80623">
        <w:t xml:space="preserve"> Victorian Government’s</w:t>
      </w:r>
      <w:r w:rsidRPr="00F1081A">
        <w:t xml:space="preserve"> Big Housing Build which demonstrates the importance of funding and continuity</w:t>
      </w:r>
      <w:r w:rsidR="00E80623">
        <w:t xml:space="preserve"> of funding</w:t>
      </w:r>
      <w:r w:rsidRPr="00F1081A">
        <w:t>.</w:t>
      </w:r>
    </w:p>
    <w:p w:rsidRPr="00295E87" w:rsidR="00F9317F" w:rsidP="00F9317F" w:rsidRDefault="00F9317F" w14:paraId="4DEBF679" w14:textId="2A8F73CD">
      <w:pPr>
        <w:pStyle w:val="BodyText"/>
        <w:rPr>
          <w:rFonts w:eastAsiaTheme="minorEastAsia"/>
        </w:rPr>
      </w:pPr>
      <w:r w:rsidRPr="00F1081A">
        <w:rPr>
          <w:rFonts w:eastAsiaTheme="minorEastAsia"/>
          <w:b/>
        </w:rPr>
        <w:t>Recommendations:</w:t>
      </w:r>
    </w:p>
    <w:p w:rsidRPr="00F1081A" w:rsidR="00F9317F" w:rsidP="00F9317F" w:rsidRDefault="00F9317F" w14:paraId="705B66D5" w14:textId="77777777">
      <w:pPr>
        <w:pStyle w:val="BodyText"/>
        <w:rPr>
          <w:rFonts w:eastAsiaTheme="minorEastAsia"/>
          <w:b/>
        </w:rPr>
      </w:pPr>
      <w:r w:rsidRPr="00F1081A">
        <w:rPr>
          <w:rFonts w:eastAsiaTheme="minorEastAsia"/>
          <w:b/>
        </w:rPr>
        <w:t>How can all levels of government, along with housing organisations, institutional investors, not-for-profits, and private industry, improve access to social housing, which includes public housing and community housing?</w:t>
      </w:r>
    </w:p>
    <w:p w:rsidRPr="00F1081A" w:rsidR="00F9317F" w:rsidP="26C8E50C" w:rsidRDefault="00F9317F" w14:paraId="49236924" w14:textId="090AF9B2">
      <w:pPr>
        <w:pStyle w:val="ListBullet"/>
        <w:numPr>
          <w:ilvl w:val="0"/>
          <w:numId w:val="1"/>
        </w:numPr>
      </w:pPr>
      <w:r w:rsidRPr="00F1081A">
        <w:t xml:space="preserve">Mandate social and affordable housing inclusion in rezonings and new developments providing certainty to property industry. </w:t>
      </w:r>
    </w:p>
    <w:p w:rsidRPr="00F1081A" w:rsidR="00F9317F" w:rsidP="26C8E50C" w:rsidRDefault="00F9317F" w14:paraId="483DCC8A" w14:textId="258D9151">
      <w:pPr>
        <w:pStyle w:val="ListBullet"/>
        <w:numPr>
          <w:ilvl w:val="0"/>
          <w:numId w:val="1"/>
        </w:numPr>
      </w:pPr>
      <w:r w:rsidRPr="00F1081A">
        <w:t xml:space="preserve">Funding continuity </w:t>
      </w:r>
      <w:r w:rsidR="00203D3E">
        <w:t>through</w:t>
      </w:r>
      <w:r w:rsidRPr="00F1081A">
        <w:t xml:space="preserve"> capital grant</w:t>
      </w:r>
      <w:r w:rsidR="00203D3E">
        <w:t>s</w:t>
      </w:r>
      <w:r w:rsidRPr="00F1081A">
        <w:t xml:space="preserve"> and increase</w:t>
      </w:r>
      <w:r w:rsidR="00203D3E">
        <w:t>d</w:t>
      </w:r>
      <w:r w:rsidRPr="00F1081A">
        <w:t xml:space="preserve"> efficiency in affordable housing financing</w:t>
      </w:r>
      <w:r w:rsidR="00203D3E">
        <w:t>.</w:t>
      </w:r>
    </w:p>
    <w:p w:rsidRPr="00F1081A" w:rsidR="00F9317F" w:rsidP="26C8E50C" w:rsidRDefault="00F9317F" w14:paraId="0B48269D" w14:textId="7F89441E">
      <w:pPr>
        <w:pStyle w:val="ListBullet"/>
        <w:numPr>
          <w:ilvl w:val="0"/>
          <w:numId w:val="1"/>
        </w:numPr>
      </w:pPr>
      <w:r w:rsidRPr="00F1081A">
        <w:t>Encourage institutional mergers of non-profit</w:t>
      </w:r>
      <w:r w:rsidR="00571665">
        <w:t xml:space="preserve"> businesses </w:t>
      </w:r>
      <w:r w:rsidRPr="00F1081A">
        <w:t>to scale up</w:t>
      </w:r>
      <w:r w:rsidR="00571665">
        <w:t xml:space="preserve"> delivery</w:t>
      </w:r>
      <w:r w:rsidRPr="00F1081A">
        <w:t xml:space="preserve">. </w:t>
      </w:r>
      <w:r w:rsidR="00571665">
        <w:t xml:space="preserve">Thereby increasing </w:t>
      </w:r>
      <w:r w:rsidR="00DE468D">
        <w:t>opportunities for</w:t>
      </w:r>
      <w:r w:rsidRPr="00F1081A">
        <w:t xml:space="preserve"> housing provider</w:t>
      </w:r>
      <w:r w:rsidR="00DE468D">
        <w:t>s</w:t>
      </w:r>
      <w:r w:rsidRPr="00F1081A">
        <w:t xml:space="preserve"> to diversify </w:t>
      </w:r>
      <w:r w:rsidR="00DE468D">
        <w:t xml:space="preserve">their portfolios. </w:t>
      </w:r>
    </w:p>
    <w:p w:rsidRPr="00F1081A" w:rsidR="00F9317F" w:rsidP="26C8E50C" w:rsidRDefault="00DE468D" w14:paraId="4D1C3BF4" w14:textId="67F939A8">
      <w:pPr>
        <w:pStyle w:val="ListBullet"/>
        <w:numPr>
          <w:ilvl w:val="0"/>
          <w:numId w:val="1"/>
        </w:numPr>
      </w:pPr>
      <w:r>
        <w:t>Set housing targets in</w:t>
      </w:r>
      <w:r w:rsidRPr="00F1081A" w:rsidR="00F9317F">
        <w:t xml:space="preserve"> conjunction with </w:t>
      </w:r>
      <w:r>
        <w:t xml:space="preserve">state and local </w:t>
      </w:r>
      <w:r w:rsidR="00C27A87">
        <w:t xml:space="preserve">authorities including affordable housing. </w:t>
      </w:r>
    </w:p>
    <w:p w:rsidRPr="00F1081A" w:rsidR="00F9317F" w:rsidP="26C8E50C" w:rsidRDefault="00F9317F" w14:paraId="2A3EFCB6" w14:textId="6139FFDA">
      <w:pPr>
        <w:pStyle w:val="ListBullet"/>
        <w:numPr>
          <w:ilvl w:val="0"/>
          <w:numId w:val="1"/>
        </w:numPr>
      </w:pPr>
      <w:r w:rsidRPr="00F1081A">
        <w:t>Mak</w:t>
      </w:r>
      <w:r w:rsidR="00C27A87">
        <w:t>e</w:t>
      </w:r>
      <w:r w:rsidRPr="00F1081A">
        <w:t xml:space="preserve"> land available to affordable housing projects through land use planning process that align and meets national objectives in planning outcomes such a in density locations collocated with public transport and amenities.</w:t>
      </w:r>
    </w:p>
    <w:p w:rsidRPr="00F1081A" w:rsidR="00F9317F" w:rsidP="6BBC7576" w:rsidRDefault="00F9317F" w14:paraId="0BA6F828" w14:textId="21348A03">
      <w:pPr>
        <w:pStyle w:val="ListBullet"/>
        <w:numPr>
          <w:ilvl w:val="0"/>
          <w:numId w:val="1"/>
        </w:numPr>
      </w:pPr>
      <w:r w:rsidRPr="00F1081A">
        <w:t>Value capture, such as proportion of windfall gains tax in Victoria for rezoning that are financed or invested directly into land and housing related infrastructure in the same locality that will incentivise the delivery of social and affordable housing.</w:t>
      </w:r>
    </w:p>
    <w:p w:rsidRPr="00F1081A" w:rsidR="00F9317F" w:rsidP="6BBC7576" w:rsidRDefault="00F9317F" w14:paraId="62B92F68" w14:textId="7F0B2D8B">
      <w:pPr>
        <w:pStyle w:val="ListBullet"/>
        <w:numPr>
          <w:ilvl w:val="0"/>
          <w:numId w:val="1"/>
        </w:numPr>
      </w:pPr>
      <w:r w:rsidRPr="00F1081A">
        <w:t xml:space="preserve">Incentivise social and affordable housing inclusion with a clear mechanism for delivery with </w:t>
      </w:r>
      <w:r w:rsidR="00E80623">
        <w:t xml:space="preserve">a </w:t>
      </w:r>
      <w:r w:rsidRPr="00F1081A">
        <w:t>closed loop system of providing incentives for developments of significant scale.</w:t>
      </w:r>
    </w:p>
    <w:p w:rsidRPr="00F1081A" w:rsidR="00F9317F" w:rsidP="00D136C3" w:rsidRDefault="00F67CB0" w14:paraId="755C88B0" w14:textId="392B4403">
      <w:pPr>
        <w:pStyle w:val="ListBullet2"/>
        <w:numPr>
          <w:ilvl w:val="1"/>
          <w:numId w:val="1"/>
        </w:numPr>
        <w:spacing w:before="0" w:after="0"/>
      </w:pPr>
      <w:r>
        <w:t>Clear</w:t>
      </w:r>
      <w:r w:rsidRPr="00F1081A" w:rsidR="00F9317F">
        <w:t xml:space="preserve"> planning approval</w:t>
      </w:r>
      <w:r>
        <w:t xml:space="preserve"> pathways</w:t>
      </w:r>
      <w:r w:rsidR="00EE5F16">
        <w:t xml:space="preserve">. </w:t>
      </w:r>
      <w:r>
        <w:t xml:space="preserve"> </w:t>
      </w:r>
    </w:p>
    <w:p w:rsidRPr="00F1081A" w:rsidR="00F9317F" w:rsidP="00D136C3" w:rsidRDefault="00F9317F" w14:paraId="79F4B4F4" w14:textId="77777777">
      <w:pPr>
        <w:pStyle w:val="ListBullet2"/>
        <w:numPr>
          <w:ilvl w:val="1"/>
          <w:numId w:val="1"/>
        </w:numPr>
        <w:spacing w:before="0" w:after="0"/>
      </w:pPr>
      <w:r w:rsidRPr="00F1081A">
        <w:t>Density bonuses, transfer of development rights with an appropriate legislation and mechanism to implement.</w:t>
      </w:r>
    </w:p>
    <w:p w:rsidRPr="00F1081A" w:rsidR="00F9317F" w:rsidP="00D136C3" w:rsidRDefault="00F9317F" w14:paraId="3BCEFFEF" w14:textId="77777777">
      <w:pPr>
        <w:pStyle w:val="ListBullet2"/>
        <w:numPr>
          <w:ilvl w:val="1"/>
          <w:numId w:val="1"/>
        </w:numPr>
        <w:spacing w:before="0" w:after="0"/>
      </w:pPr>
      <w:r w:rsidRPr="00F1081A">
        <w:t>Cash contributions, tax credit with qualifying mechanism, ways to calculate and allocate the credit and transferability.</w:t>
      </w:r>
    </w:p>
    <w:p w:rsidRPr="00C27A87" w:rsidR="00F9317F" w:rsidP="00D136C3" w:rsidRDefault="00F9317F" w14:paraId="56461E2C" w14:textId="3604C918">
      <w:pPr>
        <w:pStyle w:val="ListBullet2"/>
        <w:numPr>
          <w:ilvl w:val="1"/>
          <w:numId w:val="1"/>
        </w:numPr>
        <w:spacing w:before="0" w:after="0"/>
      </w:pPr>
      <w:r w:rsidRPr="00F1081A">
        <w:t xml:space="preserve">Funding incentives </w:t>
      </w:r>
      <w:r w:rsidR="00E80623">
        <w:t>for</w:t>
      </w:r>
      <w:r w:rsidRPr="00F1081A">
        <w:t xml:space="preserve"> social and affordable housing developments through redirecting proportion of tax reform in stamp duties, windfall gains tax at state level</w:t>
      </w:r>
      <w:r w:rsidR="00B47A34">
        <w:t>,</w:t>
      </w:r>
      <w:r w:rsidRPr="00F1081A">
        <w:t xml:space="preserve"> tax </w:t>
      </w:r>
      <w:r w:rsidR="00B47A34">
        <w:t xml:space="preserve">depreciation of asset at federal </w:t>
      </w:r>
      <w:r w:rsidR="003775D5">
        <w:t>level.</w:t>
      </w:r>
      <w:r w:rsidR="00605799">
        <w:t xml:space="preserve"> </w:t>
      </w:r>
      <w:bookmarkStart w:name="_Hlk147774900" w:id="51"/>
    </w:p>
    <w:p w:rsidRPr="00640A10" w:rsidR="00BF6543" w:rsidP="00BF6543" w:rsidRDefault="00BF6543" w14:paraId="4F0EE1EC" w14:textId="77777777">
      <w:pPr>
        <w:pStyle w:val="Heading1"/>
        <w:framePr w:wrap="around"/>
        <w:rPr>
          <w:rFonts w:eastAsiaTheme="minorEastAsia"/>
        </w:rPr>
      </w:pPr>
      <w:bookmarkStart w:name="_Toc148697955" w:id="52"/>
      <w:bookmarkEnd w:id="51"/>
      <w:r w:rsidRPr="00640A10">
        <w:rPr>
          <w:rFonts w:eastAsiaTheme="minorEastAsia"/>
        </w:rPr>
        <w:t>A framework for housing delivery</w:t>
      </w:r>
      <w:bookmarkEnd w:id="52"/>
    </w:p>
    <w:p w:rsidR="00BF6543" w:rsidP="00BF6543" w:rsidRDefault="00BF6543" w14:paraId="08FDEEA8" w14:textId="77777777">
      <w:pPr>
        <w:pStyle w:val="BodyText"/>
      </w:pPr>
      <w:r>
        <w:t xml:space="preserve">The following diagram provides a potential framework for the National Housing and Homelessness Plan, indicating how the national urban policy interface with other policies in alignment with funding opportunities to create a system of housing production. </w:t>
      </w:r>
    </w:p>
    <w:p w:rsidR="00BF6543" w:rsidP="00BF6543" w:rsidRDefault="00BF6543" w14:paraId="10B9674B" w14:textId="77777777">
      <w:pPr>
        <w:pStyle w:val="BodyText"/>
      </w:pPr>
      <w:r>
        <w:t xml:space="preserve"> </w:t>
      </w:r>
      <w:r w:rsidRPr="003749D4">
        <w:t xml:space="preserve">An effective NHHP must work hand in hand with a national urban policy and objectives that can be translated in state and local planning policies and implemented through the planning system within local jurisdictions. </w:t>
      </w:r>
    </w:p>
    <w:p w:rsidRPr="003749D4" w:rsidR="00BF6543" w:rsidP="00BF6543" w:rsidRDefault="00BF6543" w14:paraId="33BC6DEE" w14:textId="77777777">
      <w:pPr>
        <w:pStyle w:val="BodyText"/>
      </w:pPr>
      <w:r w:rsidRPr="003749D4">
        <w:t>National urban policies within the NHHP should set goals and outcomes in key areas, in relation to housing to create sustainable and equitable cities:</w:t>
      </w:r>
    </w:p>
    <w:p w:rsidRPr="003749D4" w:rsidR="00BF6543" w:rsidP="00BF6543" w:rsidRDefault="00BF6543" w14:paraId="5ED21A73" w14:textId="77777777">
      <w:pPr>
        <w:pStyle w:val="ListBullet"/>
        <w:numPr>
          <w:ilvl w:val="0"/>
          <w:numId w:val="1"/>
        </w:numPr>
      </w:pPr>
      <w:r w:rsidRPr="003749D4">
        <w:t>Housing affordability and diversity</w:t>
      </w:r>
    </w:p>
    <w:p w:rsidRPr="003749D4" w:rsidR="00BF6543" w:rsidP="00BF6543" w:rsidRDefault="00BF6543" w14:paraId="3D4DA98F" w14:textId="77777777">
      <w:pPr>
        <w:pStyle w:val="ListBullet"/>
        <w:numPr>
          <w:ilvl w:val="0"/>
          <w:numId w:val="1"/>
        </w:numPr>
      </w:pPr>
      <w:r w:rsidRPr="003749D4">
        <w:t>Transport planning and alignment with housing</w:t>
      </w:r>
    </w:p>
    <w:p w:rsidRPr="003749D4" w:rsidR="00BF6543" w:rsidP="00BF6543" w:rsidRDefault="00BF6543" w14:paraId="676EAF7C" w14:textId="6843B89C">
      <w:pPr>
        <w:pStyle w:val="ListBullet"/>
        <w:numPr>
          <w:ilvl w:val="0"/>
          <w:numId w:val="1"/>
        </w:numPr>
      </w:pPr>
      <w:r w:rsidRPr="003749D4">
        <w:t>Climate Change with national targets and directions for state/local planning</w:t>
      </w:r>
    </w:p>
    <w:p w:rsidR="002D00EB" w:rsidP="002D00EB" w:rsidRDefault="002D00EB" w14:paraId="1C46B110" w14:textId="445A39D5">
      <w:pPr>
        <w:pStyle w:val="ListBullet"/>
        <w:numPr>
          <w:ilvl w:val="0"/>
          <w:numId w:val="0"/>
        </w:numPr>
        <w:ind w:left="170"/>
        <w:rPr>
          <w:noProof/>
        </w:rPr>
      </w:pPr>
    </w:p>
    <w:p w:rsidRPr="003749D4" w:rsidR="00BF6543" w:rsidP="002D00EB" w:rsidRDefault="002D00EB" w14:paraId="1C4F0E67" w14:textId="54696935">
      <w:pPr>
        <w:pStyle w:val="ListBullet"/>
        <w:numPr>
          <w:ilvl w:val="0"/>
          <w:numId w:val="0"/>
        </w:numPr>
        <w:ind w:left="360" w:hanging="360"/>
      </w:pPr>
      <w:r>
        <w:rPr>
          <w:noProof/>
        </w:rPr>
        <mc:AlternateContent>
          <mc:Choice Requires="wps">
            <w:drawing>
              <wp:anchor distT="45720" distB="45720" distL="114300" distR="114300" simplePos="0" relativeHeight="251658245" behindDoc="0" locked="0" layoutInCell="1" allowOverlap="1" wp14:anchorId="20385FC2" wp14:editId="053AAA78">
                <wp:simplePos x="0" y="0"/>
                <wp:positionH relativeFrom="margin">
                  <wp:posOffset>38100</wp:posOffset>
                </wp:positionH>
                <wp:positionV relativeFrom="paragraph">
                  <wp:posOffset>174308</wp:posOffset>
                </wp:positionV>
                <wp:extent cx="6543675" cy="395605"/>
                <wp:effectExtent l="0" t="0" r="0" b="444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395605"/>
                        </a:xfrm>
                        <a:prstGeom prst="rect">
                          <a:avLst/>
                        </a:prstGeom>
                        <a:noFill/>
                        <a:ln w="9525">
                          <a:noFill/>
                          <a:miter lim="800000"/>
                          <a:headEnd/>
                          <a:tailEnd/>
                        </a:ln>
                      </wps:spPr>
                      <wps:txbx>
                        <w:txbxContent>
                          <w:p w:rsidRPr="004965FB" w:rsidR="00BF6543" w:rsidP="00BF6543" w:rsidRDefault="00BF6543" w14:paraId="613EF80F" w14:textId="77777777">
                            <w:pPr>
                              <w:pStyle w:val="BodyText"/>
                              <w:rPr>
                                <w:b/>
                                <w:bCs/>
                              </w:rPr>
                            </w:pPr>
                            <w:r w:rsidRPr="004965FB">
                              <w:rPr>
                                <w:b/>
                                <w:bCs/>
                              </w:rPr>
                              <w:t>Figure 2: Framework for National Housing &amp; Homelessness Plan alignment with National Urban Policy</w:t>
                            </w:r>
                          </w:p>
                          <w:p w:rsidR="00BF6543" w:rsidP="00BF6543" w:rsidRDefault="00BF6543" w14:paraId="47BF41C6"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2D5E619">
              <v:shape id="Text Box 8" style="position:absolute;left:0;text-align:left;margin-left:3pt;margin-top:13.75pt;width:515.25pt;height:31.1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" w14:anchorId="20385FC2">
                <v:textbox>
                  <w:txbxContent>
                    <w:p w:rsidRPr="004965FB" w:rsidR="00BF6543" w:rsidP="00BF6543" w:rsidRDefault="00BF6543" w14:paraId="68383967" w14:textId="77777777">
                      <w:pPr>
                        <w:pStyle w:val="BodyText"/>
                        <w:rPr>
                          <w:b/>
                          <w:bCs/>
                        </w:rPr>
                      </w:pPr>
                      <w:r w:rsidRPr="004965FB">
                        <w:rPr>
                          <w:b/>
                          <w:bCs/>
                        </w:rPr>
                        <w:t>Figure 2: Framework for National Housing &amp; Homelessness Plan alignment with National Urban Policy</w:t>
                      </w:r>
                    </w:p>
                    <w:p w:rsidR="00BF6543" w:rsidP="00BF6543" w:rsidRDefault="00BF6543" w14:paraId="0A37501D" w14:textId="77777777"/>
                  </w:txbxContent>
                </v:textbox>
                <w10:wrap type="square" anchorx="margin"/>
              </v:shape>
            </w:pict>
          </mc:Fallback>
        </mc:AlternateContent>
      </w:r>
      <w:r>
        <w:rPr>
          <w:noProof/>
        </w:rPr>
        <mc:AlternateContent>
          <mc:Choice Requires="wps">
            <w:drawing>
              <wp:anchor distT="45720" distB="45720" distL="114300" distR="114300" simplePos="0" relativeHeight="251658244" behindDoc="0" locked="0" layoutInCell="1" allowOverlap="1" wp14:anchorId="4747E4C6" wp14:editId="4EAF6802">
                <wp:simplePos x="0" y="0"/>
                <wp:positionH relativeFrom="column">
                  <wp:posOffset>-67945</wp:posOffset>
                </wp:positionH>
                <wp:positionV relativeFrom="paragraph">
                  <wp:posOffset>692785</wp:posOffset>
                </wp:positionV>
                <wp:extent cx="6305550" cy="140462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404620"/>
                        </a:xfrm>
                        <a:prstGeom prst="rect">
                          <a:avLst/>
                        </a:prstGeom>
                        <a:noFill/>
                        <a:ln w="9525">
                          <a:noFill/>
                          <a:miter lim="800000"/>
                          <a:headEnd/>
                          <a:tailEnd/>
                        </a:ln>
                      </wps:spPr>
                      <wps:txbx>
                        <w:txbxContent>
                          <w:p w:rsidR="00BF6543" w:rsidP="00BF6543" w:rsidRDefault="002D00EB" w14:paraId="0B1CD046" w14:textId="77777777">
                            <w:r>
                              <w:rPr>
                                <w:noProof/>
                              </w:rPr>
                              <w:drawing>
                                <wp:inline distT="0" distB="0" distL="0" distR="0" wp14:anchorId="02659218" wp14:editId="7B565A3B">
                                  <wp:extent cx="6505575" cy="4336185"/>
                                  <wp:effectExtent l="0" t="0" r="0" b="7620"/>
                                  <wp:docPr id="1968453809" name="Picture 1968453809" descr="A diagram of a housing sche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53809" name="Picture 1968453809" descr="A diagram of a housing scheme&#10;&#10;Description automatically generated with medium confidence"/>
                                          <pic:cNvPicPr/>
                                        </pic:nvPicPr>
                                        <pic:blipFill>
                                          <a:blip r:embed="rId17"/>
                                          <a:stretch>
                                            <a:fillRect/>
                                          </a:stretch>
                                        </pic:blipFill>
                                        <pic:spPr>
                                          <a:xfrm>
                                            <a:off x="0" y="0"/>
                                            <a:ext cx="6549814" cy="436567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0ECF0DDE">
              <v:shape id="Text Box 7" style="position:absolute;left:0;text-align:left;margin-left:-5.35pt;margin-top:54.55pt;width:496.5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" w14:anchorId="4747E4C6">
                <v:textbox style="mso-fit-shape-to-text:t">
                  <w:txbxContent>
                    <w:p w:rsidR="00BF6543" w:rsidP="00BF6543" w:rsidRDefault="002D00EB" w14:paraId="5DAB6C7B" w14:textId="77777777">
                      <w:r>
                        <w:rPr>
                          <w:noProof/>
                        </w:rPr>
                        <w:drawing>
                          <wp:inline distT="0" distB="0" distL="0" distR="0" wp14:anchorId="00E559CE" wp14:editId="7B565A3B">
                            <wp:extent cx="6505575" cy="4336185"/>
                            <wp:effectExtent l="0" t="0" r="0" b="7620"/>
                            <wp:docPr id="740787710" name="Picture 1968453809" descr="A diagram of a housing sche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53809" name="Picture 1968453809" descr="A diagram of a housing scheme&#10;&#10;Description automatically generated with medium confidence"/>
                                    <pic:cNvPicPr/>
                                  </pic:nvPicPr>
                                  <pic:blipFill>
                                    <a:blip r:embed="rId17"/>
                                    <a:stretch>
                                      <a:fillRect/>
                                    </a:stretch>
                                  </pic:blipFill>
                                  <pic:spPr>
                                    <a:xfrm>
                                      <a:off x="0" y="0"/>
                                      <a:ext cx="6549814" cy="4365672"/>
                                    </a:xfrm>
                                    <a:prstGeom prst="rect">
                                      <a:avLst/>
                                    </a:prstGeom>
                                  </pic:spPr>
                                </pic:pic>
                              </a:graphicData>
                            </a:graphic>
                          </wp:inline>
                        </w:drawing>
                      </w:r>
                    </w:p>
                  </w:txbxContent>
                </v:textbox>
                <w10:wrap type="square"/>
              </v:shape>
            </w:pict>
          </mc:Fallback>
        </mc:AlternateContent>
      </w:r>
      <w:r w:rsidR="00BF6543">
        <w:br w:type="column"/>
      </w:r>
      <w:r w:rsidRPr="003749D4" w:rsidR="00BF6543">
        <w:t xml:space="preserve">Infrastructure delivery for urban developments that align with funding opportunities. </w:t>
      </w:r>
    </w:p>
    <w:p w:rsidRPr="003749D4" w:rsidR="00BF6543" w:rsidP="00BF6543" w:rsidRDefault="00BF6543" w14:paraId="1FE83D8B" w14:textId="77777777">
      <w:pPr>
        <w:pStyle w:val="ListBullet"/>
        <w:numPr>
          <w:ilvl w:val="0"/>
          <w:numId w:val="1"/>
        </w:numPr>
      </w:pPr>
      <w:r w:rsidRPr="003749D4">
        <w:t>Increase density within urban development in appropriate locations.</w:t>
      </w:r>
    </w:p>
    <w:p w:rsidR="00BF6543" w:rsidP="00BF6543" w:rsidRDefault="00BF6543" w14:paraId="2B8DB2D9" w14:textId="0E96DF2A">
      <w:pPr>
        <w:pStyle w:val="BodyText"/>
      </w:pPr>
      <w:r w:rsidRPr="003749D4">
        <w:t xml:space="preserve">The NHHP should set national urban policies that are in alignment with monetary policies and provide more opportunities to deliver housing, particularly with a mix of private and affordable housing as an alternative that can be leveraged with different policies for housing delivery that are counter cyclical housing market can continue when the regular market housing stalls. </w:t>
      </w:r>
    </w:p>
    <w:p w:rsidRPr="003749D4" w:rsidR="00BF6543" w:rsidP="00BF6543" w:rsidRDefault="00BF6543" w14:paraId="7612EEE5" w14:textId="77777777">
      <w:pPr>
        <w:pStyle w:val="BodyText"/>
      </w:pPr>
      <w:r w:rsidRPr="003749D4">
        <w:t xml:space="preserve">For this, there needs to be targeted funding, </w:t>
      </w:r>
      <w:r>
        <w:t xml:space="preserve">an </w:t>
      </w:r>
      <w:r w:rsidRPr="003749D4">
        <w:t xml:space="preserve">appropriate delivery vehicle at state and local level to plan and make available </w:t>
      </w:r>
      <w:r>
        <w:t xml:space="preserve">housing </w:t>
      </w:r>
      <w:r w:rsidRPr="003749D4">
        <w:t xml:space="preserve">supply (particularly affordable housing) to the address the ongoing need. This is to insulate the housing need from the distortion in housing market from economic downturn or inflationary cycle. </w:t>
      </w:r>
    </w:p>
    <w:p w:rsidR="00BF6543" w:rsidP="00BF6543" w:rsidRDefault="00BF6543" w14:paraId="4F63ACA5" w14:textId="77777777">
      <w:pPr>
        <w:pStyle w:val="BodyText"/>
      </w:pPr>
      <w:r>
        <w:br w:type="column"/>
      </w:r>
      <w:r>
        <w:t>A c</w:t>
      </w:r>
      <w:r w:rsidRPr="003749D4">
        <w:t xml:space="preserve">ombination of demand and supply side counter measures such as subsidies, tax breaks, funding, low interest finance facility to end user and developers to fund ongoing land acquisition, infrastructure housing projects would be required to incentivise supply responsiveness that meet the objectives of </w:t>
      </w:r>
      <w:r>
        <w:t xml:space="preserve">a </w:t>
      </w:r>
      <w:r w:rsidRPr="003749D4">
        <w:t xml:space="preserve">national urban policy. </w:t>
      </w:r>
    </w:p>
    <w:p w:rsidRPr="003749D4" w:rsidR="00BF6543" w:rsidP="00BF6543" w:rsidRDefault="00BF6543" w14:paraId="3DE30DAF" w14:textId="77777777">
      <w:pPr>
        <w:pStyle w:val="BodyText"/>
      </w:pPr>
      <w:r w:rsidRPr="003749D4">
        <w:t>Examples are federal withholding tax rate reduction for eligible residential build-to-rent projects and asset depreciation rate from 2.5</w:t>
      </w:r>
      <w:r>
        <w:t xml:space="preserve"> per cent</w:t>
      </w:r>
      <w:r w:rsidRPr="003749D4">
        <w:t xml:space="preserve"> to 4</w:t>
      </w:r>
      <w:r>
        <w:t xml:space="preserve"> per cent</w:t>
      </w:r>
      <w:r w:rsidRPr="003749D4">
        <w:t xml:space="preserve"> per year and land tax concession at state level such as 50</w:t>
      </w:r>
      <w:r>
        <w:t xml:space="preserve"> per cent</w:t>
      </w:r>
      <w:r w:rsidRPr="003749D4">
        <w:t xml:space="preserve"> reduction for </w:t>
      </w:r>
      <w:r>
        <w:t>b</w:t>
      </w:r>
      <w:r w:rsidRPr="003749D4">
        <w:t xml:space="preserve">uilt to </w:t>
      </w:r>
      <w:r>
        <w:t>r</w:t>
      </w:r>
      <w:r w:rsidRPr="003749D4">
        <w:t xml:space="preserve">ent projects. These counter measures will increase the responsiveness of </w:t>
      </w:r>
      <w:r>
        <w:t xml:space="preserve">institutional funded </w:t>
      </w:r>
      <w:r w:rsidRPr="003749D4">
        <w:t>developers</w:t>
      </w:r>
      <w:r>
        <w:t xml:space="preserve"> </w:t>
      </w:r>
      <w:r w:rsidRPr="003749D4">
        <w:t xml:space="preserve">to </w:t>
      </w:r>
      <w:r>
        <w:t xml:space="preserve">increase </w:t>
      </w:r>
      <w:r w:rsidRPr="003749D4">
        <w:t xml:space="preserve">supply rental properties </w:t>
      </w:r>
      <w:r>
        <w:t>and</w:t>
      </w:r>
      <w:r w:rsidRPr="003749D4">
        <w:t xml:space="preserve"> offset the investment </w:t>
      </w:r>
      <w:r>
        <w:t>demand of individuals</w:t>
      </w:r>
      <w:r w:rsidRPr="003749D4">
        <w:t xml:space="preserve"> that are affected by rise in in interest rates. Further review would be required on its effectiveness and opportunities for expansion into other housing delivery models, such as rent to own</w:t>
      </w:r>
      <w:r>
        <w:t xml:space="preserve"> and</w:t>
      </w:r>
      <w:r w:rsidRPr="003749D4">
        <w:t xml:space="preserve"> shared equity schemes.</w:t>
      </w:r>
    </w:p>
    <w:p w:rsidR="00BF6543" w:rsidP="00BF6543" w:rsidRDefault="00BF6543" w14:paraId="4A90C0F3" w14:textId="77777777">
      <w:pPr>
        <w:pStyle w:val="BodyText"/>
      </w:pPr>
      <w:r w:rsidRPr="003749D4">
        <w:t>Social and affordable housing projects</w:t>
      </w:r>
      <w:r>
        <w:t>, that are counter cyclical to the private housing market</w:t>
      </w:r>
      <w:r w:rsidRPr="003749D4">
        <w:t xml:space="preserve"> </w:t>
      </w:r>
      <w:r>
        <w:t>could be further</w:t>
      </w:r>
      <w:r w:rsidRPr="003749D4">
        <w:t xml:space="preserve"> enabled through </w:t>
      </w:r>
      <w:r>
        <w:t xml:space="preserve">greater intervention by a publicly backed development entity. A development entity could acquire land and deliver </w:t>
      </w:r>
      <w:r w:rsidRPr="003749D4">
        <w:t xml:space="preserve">infrastructure that interfaces with landowners and developers. The entity </w:t>
      </w:r>
      <w:r>
        <w:t>would be able to plan</w:t>
      </w:r>
      <w:r w:rsidRPr="003749D4">
        <w:t xml:space="preserve"> implementation with state and local jurisdictions where the national urban policies are translated into deliverables through the planning system. </w:t>
      </w:r>
    </w:p>
    <w:p w:rsidR="00BF6543" w:rsidP="00BF6543" w:rsidRDefault="00BF6543" w14:paraId="2E4703F8" w14:textId="77777777">
      <w:pPr>
        <w:pStyle w:val="BodyText"/>
      </w:pPr>
      <w:r w:rsidRPr="003749D4">
        <w:t xml:space="preserve">Funding availability </w:t>
      </w:r>
      <w:r>
        <w:t>an</w:t>
      </w:r>
      <w:r w:rsidRPr="003749D4">
        <w:t xml:space="preserve"> entity, such as Housing Australia Future Fund (HAFF) or other funding streams can be directed through state and local government through broader and specific agreements, depending on the objectives of each funding agreement. </w:t>
      </w:r>
    </w:p>
    <w:p w:rsidRPr="003749D4" w:rsidR="00BF6543" w:rsidP="00BF6543" w:rsidRDefault="00BF6543" w14:paraId="757004D3" w14:textId="77777777">
      <w:pPr>
        <w:pStyle w:val="BodyText"/>
      </w:pPr>
      <w:r w:rsidRPr="003749D4">
        <w:t xml:space="preserve">Subsidies in interest rates can be expanded through current </w:t>
      </w:r>
      <w:r>
        <w:t>National Housing Finance &amp; Investment Corporation (</w:t>
      </w:r>
      <w:r w:rsidRPr="003749D4">
        <w:t>NHFIC</w:t>
      </w:r>
      <w:r>
        <w:t>)</w:t>
      </w:r>
      <w:r w:rsidRPr="003749D4">
        <w:t xml:space="preserve"> and the </w:t>
      </w:r>
      <w:r>
        <w:t>National Housing &amp; Infrastructure Financing</w:t>
      </w:r>
      <w:r w:rsidRPr="003749D4">
        <w:t xml:space="preserve"> (for infrastructure) and criteria for qualifying </w:t>
      </w:r>
      <w:r>
        <w:t>projects</w:t>
      </w:r>
      <w:r w:rsidRPr="003749D4">
        <w:t xml:space="preserve"> </w:t>
      </w:r>
      <w:r>
        <w:t>should</w:t>
      </w:r>
      <w:r w:rsidRPr="003749D4">
        <w:t xml:space="preserve"> be </w:t>
      </w:r>
      <w:r>
        <w:t>expanded</w:t>
      </w:r>
      <w:r w:rsidRPr="003749D4">
        <w:t xml:space="preserve"> to increase participation</w:t>
      </w:r>
      <w:r>
        <w:t xml:space="preserve"> of different housing project delivery models</w:t>
      </w:r>
      <w:r w:rsidRPr="003749D4">
        <w:t>.</w:t>
      </w:r>
      <w:r>
        <w:t xml:space="preserve"> T</w:t>
      </w:r>
      <w:r w:rsidRPr="009D6DBD">
        <w:t>ax reform on negative gearing</w:t>
      </w:r>
      <w:r>
        <w:t>, capital gains</w:t>
      </w:r>
      <w:r w:rsidRPr="009D6DBD">
        <w:t xml:space="preserve"> tax </w:t>
      </w:r>
      <w:r>
        <w:t>and stamp and windfall tax (Victoria)</w:t>
      </w:r>
      <w:r w:rsidRPr="009D6DBD">
        <w:t xml:space="preserve"> that disincentivise individual investments in property can be balanced with redirecting a proportion of these tax adjustments to fund counter cyclical housing initiatives such as affordable housing and its related land or infrastructure projects.  </w:t>
      </w:r>
    </w:p>
    <w:p w:rsidRPr="003749D4" w:rsidR="00BF6543" w:rsidP="00BF6543" w:rsidRDefault="00BF6543" w14:paraId="65761AA5" w14:textId="77777777">
      <w:pPr>
        <w:pStyle w:val="BodyText"/>
      </w:pPr>
      <w:r w:rsidRPr="003749D4">
        <w:t xml:space="preserve">Alternatively, federal funding to enable land and infrastructure opportunities for housing can be channelled through state and local funding agreements that </w:t>
      </w:r>
      <w:r>
        <w:t>are</w:t>
      </w:r>
      <w:r w:rsidRPr="003749D4">
        <w:t xml:space="preserve"> linked </w:t>
      </w:r>
      <w:r>
        <w:t xml:space="preserve">to </w:t>
      </w:r>
      <w:r w:rsidRPr="003749D4">
        <w:t>requirements and outcomes that support a range of housing led initiatives:</w:t>
      </w:r>
    </w:p>
    <w:p w:rsidRPr="003749D4" w:rsidR="00BF6543" w:rsidP="00BF6543" w:rsidRDefault="00BF6543" w14:paraId="7EE91FDA" w14:textId="77777777">
      <w:pPr>
        <w:pStyle w:val="ListBullet"/>
        <w:numPr>
          <w:ilvl w:val="0"/>
          <w:numId w:val="1"/>
        </w:numPr>
      </w:pPr>
      <w:r w:rsidRPr="003749D4">
        <w:t>Requirement to set targets for housing, including affordable housing.</w:t>
      </w:r>
    </w:p>
    <w:p w:rsidRPr="003749D4" w:rsidR="00BF6543" w:rsidP="00BF6543" w:rsidRDefault="00BF6543" w14:paraId="5077EE52" w14:textId="77777777">
      <w:pPr>
        <w:pStyle w:val="ListBullet"/>
        <w:numPr>
          <w:ilvl w:val="0"/>
          <w:numId w:val="1"/>
        </w:numPr>
      </w:pPr>
      <w:r w:rsidRPr="003749D4">
        <w:t>Setting a vehicle or entity that increase supply of land, infrastructure for more opportunities in housing.</w:t>
      </w:r>
    </w:p>
    <w:p w:rsidRPr="003749D4" w:rsidR="00BF6543" w:rsidP="00BF6543" w:rsidRDefault="00BF6543" w14:paraId="23FEB102" w14:textId="77777777">
      <w:pPr>
        <w:pStyle w:val="ListBullet"/>
        <w:numPr>
          <w:ilvl w:val="0"/>
          <w:numId w:val="1"/>
        </w:numPr>
      </w:pPr>
      <w:r w:rsidRPr="003749D4">
        <w:t>Land supply and infrastructure requirements to meet housing targets and increase housing affordability.</w:t>
      </w:r>
    </w:p>
    <w:p w:rsidRPr="003749D4" w:rsidR="00BF6543" w:rsidP="00BF6543" w:rsidRDefault="00BF6543" w14:paraId="7CD95ECF" w14:textId="77777777">
      <w:pPr>
        <w:pStyle w:val="ListBullet"/>
        <w:numPr>
          <w:ilvl w:val="0"/>
          <w:numId w:val="1"/>
        </w:numPr>
      </w:pPr>
      <w:r w:rsidRPr="003749D4">
        <w:t xml:space="preserve">Specific projects that </w:t>
      </w:r>
      <w:r>
        <w:t>deliver</w:t>
      </w:r>
      <w:r w:rsidRPr="003749D4">
        <w:t xml:space="preserve"> more social and affordable housing, meeting national policy objectives.</w:t>
      </w:r>
    </w:p>
    <w:p w:rsidRPr="003749D4" w:rsidR="00BF6543" w:rsidP="00BF6543" w:rsidRDefault="00BF6543" w14:paraId="3A17172C" w14:textId="77777777">
      <w:pPr>
        <w:pStyle w:val="ListBullet"/>
        <w:numPr>
          <w:ilvl w:val="0"/>
          <w:numId w:val="1"/>
        </w:numPr>
      </w:pPr>
      <w:r w:rsidRPr="003749D4">
        <w:t>Fund innovation in developing alternative housing</w:t>
      </w:r>
      <w:r>
        <w:t xml:space="preserve"> and sustainable development</w:t>
      </w:r>
      <w:r w:rsidRPr="003749D4">
        <w:t>.</w:t>
      </w:r>
    </w:p>
    <w:p w:rsidRPr="003749D4" w:rsidR="00BF6543" w:rsidP="00BF6543" w:rsidRDefault="00BF6543" w14:paraId="22E0C316" w14:textId="77777777">
      <w:pPr>
        <w:pStyle w:val="ListBullet"/>
        <w:numPr>
          <w:ilvl w:val="0"/>
          <w:numId w:val="1"/>
        </w:numPr>
      </w:pPr>
      <w:r w:rsidRPr="003749D4">
        <w:t>Homelessness prevention</w:t>
      </w:r>
    </w:p>
    <w:p w:rsidRPr="003749D4" w:rsidR="00BF6543" w:rsidP="00BF6543" w:rsidRDefault="00BF6543" w14:paraId="23A8DD23" w14:textId="77777777">
      <w:pPr>
        <w:pStyle w:val="ListBullet"/>
        <w:numPr>
          <w:ilvl w:val="0"/>
          <w:numId w:val="1"/>
        </w:numPr>
      </w:pPr>
      <w:r w:rsidRPr="003749D4">
        <w:t>Aboriginal housing provisions</w:t>
      </w:r>
      <w:r>
        <w:t xml:space="preserve">: </w:t>
      </w:r>
      <w:r w:rsidRPr="00964137">
        <w:t xml:space="preserve">Set housing target for Aboriginal &amp; Torres Strait Islander, with its voice to be at the centre of decision making. Funding program where a difference can be made for </w:t>
      </w:r>
      <w:r>
        <w:t>specific</w:t>
      </w:r>
      <w:r w:rsidRPr="00862700">
        <w:t xml:space="preserve"> housing needs, especially around those levels of disadvantage that are indicators in the close the gap targets. </w:t>
      </w:r>
    </w:p>
    <w:p w:rsidRPr="00F1081A" w:rsidR="00F9317F" w:rsidP="00F9317F" w:rsidRDefault="00F9317F" w14:paraId="03339F48" w14:textId="1DD9FC56">
      <w:pPr>
        <w:pStyle w:val="BodyText"/>
        <w:rPr>
          <w:rFonts w:eastAsiaTheme="minorEastAsia"/>
          <w:b/>
          <w:u w:val="single"/>
        </w:rPr>
      </w:pPr>
    </w:p>
    <w:p w:rsidRPr="00F1081A" w:rsidR="00F9317F" w:rsidP="00F9317F" w:rsidRDefault="00F9317F" w14:paraId="16920EB3" w14:textId="77777777">
      <w:pPr>
        <w:pStyle w:val="BodyText"/>
      </w:pPr>
    </w:p>
    <w:p w:rsidRPr="00F1081A" w:rsidR="00F9317F" w:rsidP="00F9317F" w:rsidRDefault="00F9317F" w14:paraId="7C4AB2D4" w14:textId="77777777">
      <w:pPr>
        <w:pStyle w:val="BodyText"/>
      </w:pPr>
    </w:p>
    <w:p w:rsidRPr="00F1081A" w:rsidR="00F9317F" w:rsidP="00F9317F" w:rsidRDefault="00F9317F" w14:paraId="58BB6BFF" w14:textId="77777777">
      <w:pPr>
        <w:pStyle w:val="BodyText"/>
      </w:pPr>
    </w:p>
    <w:p w:rsidRPr="00F1081A" w:rsidR="00F9317F" w:rsidP="00F9317F" w:rsidRDefault="00F9317F" w14:paraId="292AEE94" w14:textId="77777777">
      <w:pPr>
        <w:pStyle w:val="BodyText"/>
      </w:pPr>
    </w:p>
    <w:p w:rsidRPr="00F1081A" w:rsidR="00F9317F" w:rsidP="00F9317F" w:rsidRDefault="00F9317F" w14:paraId="6F0F6E8B" w14:textId="77777777">
      <w:pPr>
        <w:pStyle w:val="BodyText"/>
      </w:pPr>
    </w:p>
    <w:p w:rsidRPr="00F1081A" w:rsidR="00F16081" w:rsidP="00F16081" w:rsidRDefault="00F16081" w14:paraId="50977235" w14:textId="77777777">
      <w:pPr>
        <w:pStyle w:val="Heading1"/>
        <w:framePr w:wrap="around"/>
        <w:rPr>
          <w:rFonts w:eastAsiaTheme="minorEastAsia"/>
        </w:rPr>
      </w:pPr>
      <w:bookmarkStart w:name="_Toc147948911" w:id="53"/>
      <w:bookmarkStart w:name="_Toc423865999" w:id="54"/>
      <w:bookmarkStart w:name="_Toc87288242" w:id="55"/>
      <w:bookmarkStart w:name="_Toc1808477441" w:id="56"/>
      <w:bookmarkStart w:name="_Toc148697965" w:id="57"/>
      <w:r>
        <w:rPr>
          <w:rFonts w:eastAsiaTheme="minorEastAsia"/>
        </w:rPr>
        <w:t>Supporting and reducing homelessness in Geelong</w:t>
      </w:r>
      <w:bookmarkEnd w:id="54"/>
      <w:bookmarkEnd w:id="55"/>
      <w:bookmarkEnd w:id="56"/>
      <w:bookmarkEnd w:id="57"/>
      <w:r>
        <w:rPr>
          <w:rFonts w:eastAsiaTheme="minorEastAsia"/>
        </w:rPr>
        <w:t xml:space="preserve"> </w:t>
      </w:r>
      <w:bookmarkEnd w:id="53"/>
    </w:p>
    <w:p w:rsidRPr="00F1081A" w:rsidR="00F16081" w:rsidP="00F16081" w:rsidRDefault="00F16081" w14:paraId="5D053A30" w14:textId="77777777">
      <w:pPr>
        <w:pStyle w:val="Introduction"/>
      </w:pPr>
      <w:r>
        <w:t xml:space="preserve">This section discusses the issues in supporting and reducing homelessness and how community service providers reduce homelessness and/or support people who may be at risk of becoming </w:t>
      </w:r>
      <w:proofErr w:type="gramStart"/>
      <w:r>
        <w:t>homeless</w:t>
      </w:r>
      <w:proofErr w:type="gramEnd"/>
    </w:p>
    <w:p w:rsidRPr="00F1081A" w:rsidR="00F16081" w:rsidP="00F16081" w:rsidRDefault="00F16081" w14:paraId="2C962299" w14:textId="77777777">
      <w:pPr>
        <w:pStyle w:val="BodyText"/>
      </w:pPr>
      <w:r w:rsidRPr="00F1081A">
        <w:t>The National Housing and Homelessness Agreement (NHHA) has been the main policy framework for addressing homelessness at</w:t>
      </w:r>
      <w:r>
        <w:t xml:space="preserve"> a</w:t>
      </w:r>
      <w:r w:rsidRPr="00F1081A">
        <w:t xml:space="preserve"> national level. The NHHA is a partnership between the Australian Government and the state and territory governments with key goals for reducing the number of people experiencing homelessness or time that people spend homeless and improve the quality of life for people experiencing homelessness. In 2022-23, the federal government had provided $1.6 billion to the states and territories to focus on four key areas prevention, early intervention, transitional </w:t>
      </w:r>
      <w:proofErr w:type="gramStart"/>
      <w:r w:rsidRPr="00F1081A">
        <w:t>housing</w:t>
      </w:r>
      <w:proofErr w:type="gramEnd"/>
      <w:r w:rsidRPr="00F1081A">
        <w:t xml:space="preserve"> and supportive housing. </w:t>
      </w:r>
    </w:p>
    <w:p w:rsidRPr="00F1081A" w:rsidR="00F16081" w:rsidP="00F16081" w:rsidRDefault="00F16081" w14:paraId="16BA1549" w14:textId="77777777">
      <w:pPr>
        <w:pStyle w:val="BodyText"/>
      </w:pPr>
      <w:r w:rsidRPr="00F1081A">
        <w:t>People experiencing homelessness have increased from 743 to 1,533 in the 5 years between 2016 to 2021, registering a 51.5</w:t>
      </w:r>
      <w:r>
        <w:t xml:space="preserve"> per cent</w:t>
      </w:r>
      <w:r w:rsidRPr="00F1081A">
        <w:t xml:space="preserve"> growth in the period. In the same period, people who are marginally housed and are at risk of homelessness have increased from 438 to 639. It is important to relate to operational homelessness data analysis adopted by the ABS because it includes severe overcrowding (households requiring 4 or more extra bedrooms) in the homelessness count. </w:t>
      </w:r>
    </w:p>
    <w:p w:rsidRPr="00F1081A" w:rsidR="00F16081" w:rsidP="00F16081" w:rsidRDefault="00F16081" w14:paraId="7BCF52DB" w14:textId="77777777">
      <w:pPr>
        <w:pStyle w:val="BodyText"/>
      </w:pPr>
      <w:r w:rsidRPr="00F1081A">
        <w:t>This is significant due to the nature of Geelong’s housing supply of having more large dwellings (3-4 bedrooms) leading to overcrowd</w:t>
      </w:r>
      <w:r>
        <w:t>ing</w:t>
      </w:r>
      <w:r w:rsidRPr="00F1081A">
        <w:t xml:space="preserve"> where homelessness </w:t>
      </w:r>
      <w:r>
        <w:t>is</w:t>
      </w:r>
      <w:r w:rsidRPr="00F1081A">
        <w:t xml:space="preserve"> then ‘hidden’ and not visible on the streets, giving the perception that homelessness is not prevalent.</w:t>
      </w:r>
    </w:p>
    <w:p w:rsidRPr="00F1081A" w:rsidR="00F16081" w:rsidP="00F16081" w:rsidRDefault="00F16081" w14:paraId="5BAA8462" w14:textId="77777777">
      <w:pPr>
        <w:pStyle w:val="BodyText"/>
      </w:pPr>
      <w:r w:rsidRPr="00F1081A">
        <w:t>The homelessness count from agencies and access point provides further clarity to the numbers:</w:t>
      </w:r>
    </w:p>
    <w:p w:rsidRPr="00F1081A" w:rsidR="00F16081" w:rsidP="00F16081" w:rsidRDefault="00F16081" w14:paraId="37A581F0" w14:textId="77777777">
      <w:pPr>
        <w:pStyle w:val="ListBullet"/>
        <w:numPr>
          <w:ilvl w:val="0"/>
          <w:numId w:val="1"/>
        </w:numPr>
      </w:pPr>
      <w:r w:rsidRPr="00F1081A">
        <w:t>In the 2021-2022 fiscal year 4,936 people received support for homelessness in Greater Geelong.</w:t>
      </w:r>
    </w:p>
    <w:p w:rsidRPr="00F1081A" w:rsidR="00F16081" w:rsidP="00F16081" w:rsidRDefault="00F16081" w14:paraId="6376A1F6" w14:textId="77777777">
      <w:pPr>
        <w:pStyle w:val="ListBullet"/>
        <w:numPr>
          <w:ilvl w:val="0"/>
          <w:numId w:val="1"/>
        </w:numPr>
      </w:pPr>
      <w:r w:rsidRPr="00F1081A">
        <w:t xml:space="preserve">According to DFFH-BLASN data for 4th </w:t>
      </w:r>
      <w:r>
        <w:t>q</w:t>
      </w:r>
      <w:r w:rsidRPr="00F1081A">
        <w:t>uarter, 2022 the following people sought homelessness support:</w:t>
      </w:r>
    </w:p>
    <w:p w:rsidRPr="00F1081A" w:rsidR="00F16081" w:rsidP="00F16081" w:rsidRDefault="00F16081" w14:paraId="59304909" w14:textId="77777777">
      <w:pPr>
        <w:pStyle w:val="ListBullet2"/>
        <w:numPr>
          <w:ilvl w:val="1"/>
          <w:numId w:val="1"/>
        </w:numPr>
        <w:spacing w:before="0" w:after="0"/>
      </w:pPr>
      <w:r w:rsidRPr="00F1081A">
        <w:t>42</w:t>
      </w:r>
      <w:r>
        <w:t xml:space="preserve"> per cent</w:t>
      </w:r>
      <w:r w:rsidRPr="00F1081A">
        <w:t xml:space="preserve"> were survivors of family and domestic violence.</w:t>
      </w:r>
    </w:p>
    <w:p w:rsidRPr="00F1081A" w:rsidR="00F16081" w:rsidP="00F16081" w:rsidRDefault="00F16081" w14:paraId="2C6EC2FA" w14:textId="77777777">
      <w:pPr>
        <w:pStyle w:val="ListBullet2"/>
        <w:numPr>
          <w:ilvl w:val="1"/>
          <w:numId w:val="1"/>
        </w:numPr>
        <w:spacing w:before="0" w:after="0"/>
      </w:pPr>
      <w:r w:rsidRPr="00F1081A">
        <w:t>10</w:t>
      </w:r>
      <w:r>
        <w:t xml:space="preserve"> per</w:t>
      </w:r>
      <w:r w:rsidRPr="00F1081A">
        <w:t xml:space="preserve"> </w:t>
      </w:r>
      <w:r>
        <w:t xml:space="preserve">cent </w:t>
      </w:r>
      <w:r w:rsidRPr="00F1081A">
        <w:t>were F</w:t>
      </w:r>
      <w:r>
        <w:t>irst</w:t>
      </w:r>
      <w:r w:rsidRPr="00F1081A">
        <w:t xml:space="preserve"> Nations People </w:t>
      </w:r>
    </w:p>
    <w:p w:rsidRPr="00F1081A" w:rsidR="00F16081" w:rsidP="00F16081" w:rsidRDefault="00F16081" w14:paraId="303AA918" w14:textId="77777777">
      <w:pPr>
        <w:pStyle w:val="ListBullet2"/>
        <w:numPr>
          <w:ilvl w:val="1"/>
          <w:numId w:val="1"/>
        </w:numPr>
        <w:spacing w:before="0" w:after="0"/>
      </w:pPr>
      <w:r w:rsidRPr="00F1081A">
        <w:t>12</w:t>
      </w:r>
      <w:r>
        <w:t xml:space="preserve"> per cent</w:t>
      </w:r>
      <w:r w:rsidRPr="00F1081A">
        <w:t xml:space="preserve"> were presenting alone. </w:t>
      </w:r>
    </w:p>
    <w:p w:rsidRPr="00F1081A" w:rsidR="00F16081" w:rsidP="00F16081" w:rsidRDefault="00F16081" w14:paraId="5575C101" w14:textId="77777777">
      <w:pPr>
        <w:pStyle w:val="ListBullet"/>
        <w:numPr>
          <w:ilvl w:val="0"/>
          <w:numId w:val="1"/>
        </w:numPr>
      </w:pPr>
      <w:r w:rsidRPr="00F1081A">
        <w:t xml:space="preserve">According to local Geelong housing and homelessness support services and the Victoria Housing Register (VHR) there are over 7,000 households on priority access housing register (homeless awaiting housing). </w:t>
      </w:r>
    </w:p>
    <w:p w:rsidRPr="00F1081A" w:rsidR="00F16081" w:rsidP="00F16081" w:rsidRDefault="00F16081" w14:paraId="217A218D" w14:textId="77777777">
      <w:pPr>
        <w:pStyle w:val="BodyText"/>
      </w:pPr>
      <w:r w:rsidRPr="00F1081A">
        <w:t xml:space="preserve">Anecdotally, current Geelong housing and homelessness support and outreach services are inundated with requests of support for their services, struggling to meet the high demand for immediate support. This is further impacted by limited funding and staff resources on the ground to meet this critical need. </w:t>
      </w:r>
    </w:p>
    <w:p w:rsidRPr="00F1081A" w:rsidR="00F16081" w:rsidP="00F16081" w:rsidRDefault="00F16081" w14:paraId="6565DE0F" w14:textId="77777777">
      <w:pPr>
        <w:pStyle w:val="BodyText"/>
      </w:pPr>
      <w:r w:rsidRPr="00F1081A">
        <w:t>City of Greater Geelong local laws team has noticed an increase of those people experiencing homelessness throughout the municipality, this is evident in the increase of people living in their cars, setting up temporary dwellings along river</w:t>
      </w:r>
      <w:r>
        <w:t>s</w:t>
      </w:r>
      <w:r w:rsidRPr="00F1081A">
        <w:t xml:space="preserve">, parkland areas and shop fronts. </w:t>
      </w:r>
    </w:p>
    <w:p w:rsidRPr="00F1081A" w:rsidR="00F16081" w:rsidP="00F16081" w:rsidRDefault="00F16081" w14:paraId="1004DC5D" w14:textId="77777777">
      <w:pPr>
        <w:pStyle w:val="BodyText"/>
      </w:pPr>
      <w:r w:rsidRPr="00F1081A">
        <w:t xml:space="preserve">Anecdotally, homelessness services are increasingly seeing low to middle income families being pushed out of the private rental market, putting increased pressure on an already short supply of suitable affordable properties and social housing options. </w:t>
      </w:r>
    </w:p>
    <w:p w:rsidR="00F16081" w:rsidP="00F16081" w:rsidRDefault="00F16081" w14:paraId="25869961" w14:textId="77777777">
      <w:pPr>
        <w:pStyle w:val="BodyText"/>
      </w:pPr>
      <w:r w:rsidRPr="00F1081A">
        <w:t xml:space="preserve">Prevention of homelessness is to address the causes and prevent people becoming homeless in the first place. </w:t>
      </w:r>
    </w:p>
    <w:p w:rsidRPr="00F1081A" w:rsidR="00F16081" w:rsidP="00F16081" w:rsidRDefault="00F16081" w14:paraId="37B6DD8E" w14:textId="77777777">
      <w:pPr>
        <w:pStyle w:val="PullQuoteLong"/>
      </w:pPr>
      <w:r w:rsidRPr="00F1081A">
        <w:t xml:space="preserve">“The provision of social housing in the first instance is considered the most appropriate response to homelessness and the imminent threat of homelessness.” </w:t>
      </w:r>
    </w:p>
    <w:p w:rsidRPr="00F1081A" w:rsidR="00F16081" w:rsidP="00F16081" w:rsidRDefault="00F16081" w14:paraId="7D5E56B7" w14:textId="77777777">
      <w:pPr>
        <w:pStyle w:val="Heading2"/>
        <w:rPr>
          <w:rFonts w:eastAsiaTheme="minorEastAsia"/>
        </w:rPr>
      </w:pPr>
      <w:bookmarkStart w:name="_Toc147948912" w:id="58"/>
      <w:bookmarkStart w:name="_Toc1176492417" w:id="59"/>
      <w:bookmarkStart w:name="_Toc1323078643" w:id="60"/>
      <w:bookmarkStart w:name="_Toc323397298" w:id="61"/>
      <w:bookmarkStart w:name="_Toc148697966" w:id="62"/>
      <w:r w:rsidRPr="00F1081A">
        <w:rPr>
          <w:rFonts w:eastAsiaTheme="minorEastAsia"/>
        </w:rPr>
        <w:t>City of Greater Geelong’s Effort in Homelessness and Rough Sleeping</w:t>
      </w:r>
      <w:bookmarkEnd w:id="58"/>
      <w:bookmarkEnd w:id="59"/>
      <w:bookmarkEnd w:id="60"/>
      <w:bookmarkEnd w:id="61"/>
      <w:bookmarkEnd w:id="62"/>
    </w:p>
    <w:p w:rsidRPr="00F1081A" w:rsidR="00F16081" w:rsidP="00F16081" w:rsidRDefault="00F16081" w14:paraId="2731AB49" w14:textId="77777777">
      <w:pPr>
        <w:pStyle w:val="BodyText"/>
      </w:pPr>
      <w:r w:rsidRPr="00F1081A">
        <w:t xml:space="preserve">The City </w:t>
      </w:r>
      <w:r w:rsidRPr="00FF3CC2">
        <w:rPr>
          <w:rFonts w:eastAsiaTheme="minorEastAsia"/>
          <w:bCs/>
        </w:rPr>
        <w:t>does not</w:t>
      </w:r>
      <w:r w:rsidRPr="00F1081A">
        <w:t xml:space="preserve"> have a policy to provide a direct housing, however, continues to maintain strong relationships with the agencies working with and providing support and services to homeless people. City officers regularly meet and share communication with support agencies collaborating directly with people who are sleeping rough. This includes NEAMI National Towards Home Plus and Victoria Police. </w:t>
      </w:r>
    </w:p>
    <w:p w:rsidRPr="00F1081A" w:rsidR="00F16081" w:rsidP="00F16081" w:rsidRDefault="00F16081" w14:paraId="3784CC4A" w14:textId="77777777">
      <w:pPr>
        <w:pStyle w:val="BodyText"/>
      </w:pPr>
      <w:r w:rsidRPr="00F1081A">
        <w:t xml:space="preserve">It is important to note that it is not illegal to sleep rough in the City of Greater Geelong. It is an offence to camp in a public open space however, in the absence of a tent it is not deemed camping. </w:t>
      </w:r>
    </w:p>
    <w:p w:rsidRPr="00F1081A" w:rsidR="00F16081" w:rsidP="00F16081" w:rsidRDefault="00F16081" w14:paraId="7C9DF245" w14:textId="56C24D3D">
      <w:pPr>
        <w:pStyle w:val="Heading2"/>
        <w:rPr>
          <w:rFonts w:eastAsiaTheme="minorEastAsia"/>
        </w:rPr>
      </w:pPr>
      <w:bookmarkStart w:name="_Toc147948913" w:id="63"/>
      <w:bookmarkStart w:name="_Toc192710598" w:id="64"/>
      <w:bookmarkStart w:name="_Toc2107682818" w:id="65"/>
      <w:bookmarkStart w:name="_Toc435722" w:id="66"/>
      <w:bookmarkStart w:name="_Toc148697967" w:id="67"/>
      <w:r w:rsidRPr="00F1081A">
        <w:rPr>
          <w:rFonts w:eastAsiaTheme="minorEastAsia"/>
        </w:rPr>
        <w:t>Other Homelessness Support Agencies Providing Services within Geelong</w:t>
      </w:r>
      <w:bookmarkEnd w:id="63"/>
      <w:bookmarkEnd w:id="64"/>
      <w:bookmarkEnd w:id="65"/>
      <w:bookmarkEnd w:id="66"/>
      <w:bookmarkEnd w:id="67"/>
      <w:r w:rsidRPr="00F1081A">
        <w:rPr>
          <w:rFonts w:eastAsiaTheme="minorEastAsia"/>
        </w:rPr>
        <w:t xml:space="preserve"> </w:t>
      </w:r>
    </w:p>
    <w:p w:rsidRPr="00F1081A" w:rsidR="00F16081" w:rsidP="00F16081" w:rsidRDefault="00F16081" w14:paraId="52643488" w14:textId="77777777">
      <w:pPr>
        <w:pStyle w:val="BodyText"/>
      </w:pPr>
      <w:r w:rsidRPr="00F1081A">
        <w:rPr>
          <w:rFonts w:eastAsiaTheme="minorEastAsia"/>
          <w:b/>
        </w:rPr>
        <w:t>NEAMI National Towards Home Plus</w:t>
      </w:r>
      <w:r w:rsidRPr="00F1081A">
        <w:t xml:space="preserve"> is the rough sleeper assertive outreach provider in the City of Greater Geelong. The Assertive Outreach Team engages with people who are sleeping rough focusing on developing trust, providing brief interventions and short-term support including:</w:t>
      </w:r>
    </w:p>
    <w:p w:rsidRPr="00F1081A" w:rsidR="00F16081" w:rsidP="00F16081" w:rsidRDefault="00F16081" w14:paraId="69401BCC" w14:textId="77777777">
      <w:pPr>
        <w:pStyle w:val="ListBullet"/>
        <w:numPr>
          <w:ilvl w:val="0"/>
          <w:numId w:val="1"/>
        </w:numPr>
      </w:pPr>
      <w:r w:rsidRPr="00F1081A">
        <w:t>Rapid access to emergency accommodation and health services.</w:t>
      </w:r>
    </w:p>
    <w:p w:rsidRPr="00F1081A" w:rsidR="00F16081" w:rsidP="00F16081" w:rsidRDefault="00F16081" w14:paraId="5B774B82" w14:textId="77777777">
      <w:pPr>
        <w:pStyle w:val="ListBullet"/>
        <w:numPr>
          <w:ilvl w:val="0"/>
          <w:numId w:val="1"/>
        </w:numPr>
      </w:pPr>
      <w:r w:rsidRPr="00F1081A">
        <w:t>Access to stable accommodation as quickly as possible (a housing-first approach).</w:t>
      </w:r>
    </w:p>
    <w:p w:rsidRPr="00F1081A" w:rsidR="00F16081" w:rsidP="00F16081" w:rsidRDefault="00F16081" w14:paraId="0A98915F" w14:textId="77777777">
      <w:pPr>
        <w:pStyle w:val="ListBullet"/>
        <w:numPr>
          <w:ilvl w:val="0"/>
          <w:numId w:val="1"/>
        </w:numPr>
      </w:pPr>
      <w:r w:rsidRPr="00F1081A">
        <w:t>Connection with existing formal and informal supports.</w:t>
      </w:r>
    </w:p>
    <w:p w:rsidRPr="00F1081A" w:rsidR="00F16081" w:rsidP="00F16081" w:rsidRDefault="00F16081" w14:paraId="1A0DA682" w14:textId="77777777">
      <w:pPr>
        <w:pStyle w:val="ListBullet"/>
        <w:numPr>
          <w:ilvl w:val="0"/>
          <w:numId w:val="1"/>
        </w:numPr>
      </w:pPr>
      <w:r w:rsidRPr="00F1081A">
        <w:t>Referral to the Supportive Housing Team and other services to meet longer-term needs.</w:t>
      </w:r>
    </w:p>
    <w:p w:rsidRPr="00F1081A" w:rsidR="00F16081" w:rsidP="00F16081" w:rsidRDefault="00F16081" w14:paraId="18B97729" w14:textId="77777777">
      <w:pPr>
        <w:pStyle w:val="BodyText"/>
      </w:pPr>
      <w:r w:rsidRPr="00F1081A">
        <w:t xml:space="preserve">A person can choose not to access assistance, they cannot be made to access accommodation or support services. </w:t>
      </w:r>
    </w:p>
    <w:p w:rsidRPr="00F1081A" w:rsidR="00F16081" w:rsidP="00F16081" w:rsidRDefault="00F16081" w14:paraId="1E1D20A3" w14:textId="77777777">
      <w:pPr>
        <w:pStyle w:val="BodyText"/>
      </w:pPr>
      <w:r w:rsidRPr="00F1081A">
        <w:rPr>
          <w:rFonts w:eastAsiaTheme="minorEastAsia"/>
          <w:b/>
        </w:rPr>
        <w:t>Victoria Police</w:t>
      </w:r>
      <w:r w:rsidRPr="00F1081A">
        <w:t xml:space="preserve"> engage in the conversation from the first knowledge of a rough sleeper within the municipality. Victoria Police undertake welfare checks and/or offer support to individuals that have not been able to be contacted/sighted during business hours. An awareness for Victoria Police also assists if behaviours escalate. </w:t>
      </w:r>
    </w:p>
    <w:p w:rsidRPr="00F1081A" w:rsidR="00F16081" w:rsidP="00F16081" w:rsidRDefault="00F16081" w14:paraId="5E79BE4B" w14:textId="77777777">
      <w:pPr>
        <w:pStyle w:val="BodyText"/>
        <w:rPr>
          <w:rFonts w:eastAsiaTheme="minorEastAsia"/>
          <w:b/>
        </w:rPr>
      </w:pPr>
      <w:r w:rsidRPr="00F1081A">
        <w:rPr>
          <w:rFonts w:eastAsiaTheme="minorEastAsia"/>
          <w:b/>
        </w:rPr>
        <w:t xml:space="preserve">Geelong Zero </w:t>
      </w:r>
      <w:r w:rsidRPr="00F1081A">
        <w:t>project is a collective impact collaborative approach was launched in October 2022. Geelong Zero is bringing local organisations together to reduce homelessness in central Geelong and end rough sleeping by 2025:</w:t>
      </w:r>
    </w:p>
    <w:p w:rsidRPr="00F1081A" w:rsidR="00F16081" w:rsidP="00F16081" w:rsidRDefault="00F16081" w14:paraId="7F861C1C" w14:textId="77777777">
      <w:pPr>
        <w:pStyle w:val="ListBullet"/>
        <w:numPr>
          <w:ilvl w:val="0"/>
          <w:numId w:val="1"/>
        </w:numPr>
      </w:pPr>
      <w:r w:rsidRPr="00F1081A">
        <w:drawing>
          <wp:anchor distT="0" distB="0" distL="114300" distR="114300" simplePos="0" relativeHeight="251658243" behindDoc="0" locked="0" layoutInCell="1" allowOverlap="1" wp14:anchorId="7D5AE2F3" wp14:editId="22C1889A">
            <wp:simplePos x="0" y="0"/>
            <wp:positionH relativeFrom="margin">
              <wp:align>left</wp:align>
            </wp:positionH>
            <wp:positionV relativeFrom="paragraph">
              <wp:posOffset>1060984</wp:posOffset>
            </wp:positionV>
            <wp:extent cx="6629631" cy="2735885"/>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837" b="20976"/>
                    <a:stretch/>
                  </pic:blipFill>
                  <pic:spPr bwMode="auto">
                    <a:xfrm>
                      <a:off x="0" y="0"/>
                      <a:ext cx="6629631" cy="2735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081A">
        <w:t xml:space="preserve">The project is led by NEAMI Towards Home Plus and includes partners Give Where You Live (allocated $40,000 over a 2-year period to support the project), City of Greater Geelong, Salvation Army, Barwon </w:t>
      </w:r>
      <w:proofErr w:type="gramStart"/>
      <w:r w:rsidRPr="00F1081A">
        <w:t>South West</w:t>
      </w:r>
      <w:proofErr w:type="gramEnd"/>
      <w:r w:rsidRPr="00F1081A">
        <w:t xml:space="preserve"> Homelessness Network, </w:t>
      </w:r>
      <w:proofErr w:type="spellStart"/>
      <w:r w:rsidRPr="00F1081A">
        <w:t>GenU</w:t>
      </w:r>
      <w:proofErr w:type="spellEnd"/>
      <w:r w:rsidRPr="00F1081A">
        <w:t xml:space="preserve">, Wathaurong, Victoria Police, Lazarus House, Bethany and Haven Home Safe. </w:t>
      </w:r>
    </w:p>
    <w:p w:rsidR="00F16081" w:rsidP="00F16081" w:rsidRDefault="00F16081" w14:paraId="56F14858" w14:textId="77777777">
      <w:pPr>
        <w:pStyle w:val="ListBullet"/>
        <w:numPr>
          <w:ilvl w:val="0"/>
          <w:numId w:val="1"/>
        </w:numPr>
      </w:pPr>
      <w:r w:rsidRPr="00F1081A">
        <w:t>Towards Zero projects are based on the model from the Australian Alliance to End Homelessness and incorporate the use of a by-name list for rough sleepers within an area. This list allows all agencies to be working off one list.</w:t>
      </w:r>
      <w:r>
        <w:br w:type="column"/>
      </w:r>
    </w:p>
    <w:p w:rsidRPr="00FF3CC2" w:rsidR="00F16081" w:rsidP="00F16081" w:rsidRDefault="00F16081" w14:paraId="017140A6" w14:textId="77777777">
      <w:pPr>
        <w:pStyle w:val="ListBullet"/>
        <w:numPr>
          <w:ilvl w:val="0"/>
          <w:numId w:val="1"/>
        </w:numPr>
      </w:pPr>
      <w:r w:rsidRPr="00F1081A">
        <w:t>By-Name Lists help us gather real-time information about people experiencing homelessness in communities to make sure we can match them to the right support services. As a part of this work, we can build an understanding of how many people are experiencing homelessness in a community and what their needs are –particularly health – and then set about meeting those needs, both housing and support (</w:t>
      </w:r>
      <w:r w:rsidRPr="00BA28E2">
        <w:t>Australian Alliance to End Homelessness).</w:t>
      </w:r>
    </w:p>
    <w:p w:rsidRPr="00BA28E2" w:rsidR="00F16081" w:rsidP="00F16081" w:rsidRDefault="00F16081" w14:paraId="70C9CA43" w14:textId="77777777">
      <w:pPr>
        <w:pStyle w:val="ListBullet"/>
        <w:numPr>
          <w:ilvl w:val="0"/>
          <w:numId w:val="1"/>
        </w:numPr>
      </w:pPr>
      <w:r w:rsidRPr="00F1081A">
        <w:t xml:space="preserve">Further information about the Advance to Zero model can be found by visiting  </w:t>
      </w:r>
      <w:hyperlink r:id="rId19">
        <w:r w:rsidRPr="00BA28E2">
          <w:t>Alliance to End Homelessness</w:t>
        </w:r>
      </w:hyperlink>
      <w:r w:rsidRPr="00F1081A">
        <w:t xml:space="preserve"> and the framework is outlined in the diagram below: </w:t>
      </w:r>
    </w:p>
    <w:p w:rsidRPr="00F1081A" w:rsidR="00F16081" w:rsidP="00F16081" w:rsidRDefault="00F16081" w14:paraId="086161C2" w14:textId="77777777">
      <w:pPr>
        <w:pStyle w:val="BodyText"/>
      </w:pPr>
      <w:r w:rsidRPr="00FF3CC2">
        <w:rPr>
          <w:b/>
          <w:bCs/>
        </w:rPr>
        <w:t>Lazarus Community Centre</w:t>
      </w:r>
      <w:r w:rsidRPr="00F1081A">
        <w:t xml:space="preserve"> is a place for people to feel safe and welcome. Somewhere where they can take a shower, </w:t>
      </w:r>
      <w:proofErr w:type="gramStart"/>
      <w:r w:rsidRPr="00F1081A">
        <w:t>wash</w:t>
      </w:r>
      <w:proofErr w:type="gramEnd"/>
      <w:r w:rsidRPr="00F1081A">
        <w:t xml:space="preserve"> and dry their clothes, have a light lunch, participate in activities, meet with volunteers and receive support from specialist homelessness staff.</w:t>
      </w:r>
    </w:p>
    <w:p w:rsidRPr="00F1081A" w:rsidR="00F16081" w:rsidP="00F16081" w:rsidRDefault="00F16081" w14:paraId="1AF00068" w14:textId="77777777">
      <w:pPr>
        <w:pStyle w:val="BodyText"/>
      </w:pPr>
      <w:r w:rsidRPr="00F1081A">
        <w:t xml:space="preserve">Between January and June 2023, Lazarus Community Centre serviced 6,199 clients, with 253 being brand new to the centre. Anecdotal evidence suggests that more than half of these clients are homeless. Sleeping rough, couch surfing, sleeping in cars or moving between emergency accommodation. To address this unmet need in the Geelong area Lazarus Community Centre along with support of the local Geelong Police are working toward establishing a </w:t>
      </w:r>
      <w:proofErr w:type="spellStart"/>
      <w:r w:rsidRPr="00F1081A">
        <w:t>Beddown</w:t>
      </w:r>
      <w:proofErr w:type="spellEnd"/>
      <w:r w:rsidRPr="00F1081A">
        <w:t xml:space="preserve"> Project Pilot. </w:t>
      </w:r>
    </w:p>
    <w:p w:rsidR="00F16081" w:rsidP="00F16081" w:rsidRDefault="00F16081" w14:paraId="044C60B7" w14:textId="77777777">
      <w:pPr>
        <w:pStyle w:val="BodyText"/>
      </w:pPr>
      <w:r>
        <w:rPr>
          <w:rFonts w:eastAsiaTheme="minorEastAsia"/>
          <w:b/>
        </w:rPr>
        <w:br w:type="column"/>
      </w:r>
      <w:r w:rsidRPr="00F1081A">
        <w:rPr>
          <w:rFonts w:eastAsiaTheme="minorEastAsia"/>
          <w:b/>
        </w:rPr>
        <w:t xml:space="preserve">The </w:t>
      </w:r>
      <w:proofErr w:type="spellStart"/>
      <w:r w:rsidRPr="00F1081A">
        <w:rPr>
          <w:rFonts w:eastAsiaTheme="minorEastAsia"/>
          <w:b/>
        </w:rPr>
        <w:t>Beddown</w:t>
      </w:r>
      <w:proofErr w:type="spellEnd"/>
      <w:r w:rsidRPr="00F1081A">
        <w:rPr>
          <w:rFonts w:eastAsiaTheme="minorEastAsia"/>
          <w:b/>
        </w:rPr>
        <w:t xml:space="preserve"> Program</w:t>
      </w:r>
      <w:r w:rsidRPr="00F1081A">
        <w:t xml:space="preserve"> aim is to use spaces that are commonly used and busy during the day but at night are left vacant or empty. </w:t>
      </w:r>
      <w:proofErr w:type="spellStart"/>
      <w:r w:rsidRPr="00F1081A">
        <w:t>Beddown</w:t>
      </w:r>
      <w:proofErr w:type="spellEnd"/>
      <w:r w:rsidRPr="00F1081A">
        <w:t xml:space="preserve"> then activates and repurposes the space at night into pop-up accommodation to ensure people experiencing homelessness/ sleeping rough can access a bed at night. </w:t>
      </w:r>
    </w:p>
    <w:p w:rsidRPr="00F1081A" w:rsidR="00F16081" w:rsidP="00F16081" w:rsidRDefault="00F16081" w14:paraId="0126F22C" w14:textId="77777777">
      <w:pPr>
        <w:pStyle w:val="BodyText"/>
      </w:pPr>
      <w:r w:rsidRPr="00F1081A">
        <w:t xml:space="preserve">It is crucial to note that the overarching goal is to end homelessness, but this is multi-faceted and complex and therefore this proposal is just one example of the diverse way in which we need to consider programs to provide immediate capacity for Geelong locals experiencing homelessness. </w:t>
      </w:r>
    </w:p>
    <w:p w:rsidRPr="00F1081A" w:rsidR="00F16081" w:rsidP="00F16081" w:rsidRDefault="00F16081" w14:paraId="4E254379" w14:textId="77777777">
      <w:pPr>
        <w:pStyle w:val="ListBullet"/>
        <w:numPr>
          <w:ilvl w:val="0"/>
          <w:numId w:val="1"/>
        </w:numPr>
      </w:pPr>
      <w:r w:rsidRPr="00F1081A">
        <w:t xml:space="preserve">It is envisaged that the pilot program accommodates 25 clients initially. </w:t>
      </w:r>
    </w:p>
    <w:p w:rsidRPr="00F1081A" w:rsidR="00F16081" w:rsidP="00F16081" w:rsidRDefault="00F16081" w14:paraId="069A495C" w14:textId="77777777">
      <w:pPr>
        <w:pStyle w:val="ListBullet"/>
        <w:numPr>
          <w:ilvl w:val="0"/>
          <w:numId w:val="1"/>
        </w:numPr>
      </w:pPr>
      <w:r w:rsidRPr="00F1081A">
        <w:t xml:space="preserve">The pilot program will run at a low cost due to volunteers providing their time. Volunteers will be a combination of trained volunteers, and community members. </w:t>
      </w:r>
    </w:p>
    <w:p w:rsidRPr="00F1081A" w:rsidR="00F16081" w:rsidP="00F16081" w:rsidRDefault="00F16081" w14:paraId="67FD098A" w14:textId="77777777">
      <w:pPr>
        <w:pStyle w:val="ListBullet"/>
        <w:numPr>
          <w:ilvl w:val="0"/>
          <w:numId w:val="1"/>
        </w:numPr>
      </w:pPr>
      <w:proofErr w:type="spellStart"/>
      <w:r w:rsidRPr="00F1081A">
        <w:t>Beddown</w:t>
      </w:r>
      <w:proofErr w:type="spellEnd"/>
      <w:r w:rsidRPr="00F1081A">
        <w:t xml:space="preserve"> Offers a place of safety and security. Has the potential to become a longer-term option for emergency overnight accommodation. As it grows, it could establish into a more formal referral process which then offers the opportunities for external organisations to become involved and provide longer term support for individuals. </w:t>
      </w:r>
    </w:p>
    <w:p w:rsidR="00F16081" w:rsidP="00F16081" w:rsidRDefault="00F16081" w14:paraId="7163D908" w14:textId="77777777">
      <w:pPr>
        <w:spacing w:before="120" w:after="120"/>
        <w:rPr>
          <w:rFonts w:ascii="Arial" w:hAnsi="Arial" w:eastAsia="Arial" w:cs="Arial"/>
          <w:b/>
        </w:rPr>
      </w:pPr>
    </w:p>
    <w:p w:rsidR="00F16081" w:rsidP="00F16081" w:rsidRDefault="00F16081" w14:paraId="1E8A094F" w14:textId="77777777">
      <w:pPr>
        <w:spacing w:before="120" w:after="120"/>
        <w:rPr>
          <w:rFonts w:eastAsiaTheme="minorEastAsia"/>
        </w:rPr>
      </w:pPr>
      <w:r w:rsidRPr="5F06FC77">
        <w:rPr>
          <w:rFonts w:ascii="Arial" w:hAnsi="Arial" w:eastAsia="Arial" w:cs="Arial"/>
          <w:b/>
        </w:rPr>
        <w:t>How can governments and community service providers reduce homelessness and/or support people who may be at risk of becoming homeless in Australia?</w:t>
      </w:r>
    </w:p>
    <w:p w:rsidR="00F16081" w:rsidP="00F16081" w:rsidRDefault="00F16081" w14:paraId="3093E9DA" w14:textId="77777777">
      <w:r w:rsidRPr="5F06FC77">
        <w:rPr>
          <w:rFonts w:ascii="Arial" w:hAnsi="Arial" w:eastAsia="Arial" w:cs="Arial"/>
          <w:color w:val="000000"/>
        </w:rPr>
        <w:t xml:space="preserve">In September 2022 </w:t>
      </w:r>
      <w:r>
        <w:rPr>
          <w:rFonts w:ascii="Arial" w:hAnsi="Arial" w:eastAsia="Arial" w:cs="Arial"/>
          <w:color w:val="000000"/>
        </w:rPr>
        <w:t>t</w:t>
      </w:r>
      <w:r w:rsidRPr="5F06FC77">
        <w:rPr>
          <w:rFonts w:ascii="Arial" w:hAnsi="Arial" w:eastAsia="Arial" w:cs="Arial"/>
          <w:color w:val="000000"/>
        </w:rPr>
        <w:t>he Productivity Commission handed down</w:t>
      </w:r>
      <w:r w:rsidRPr="5F06FC77">
        <w:rPr>
          <w:rFonts w:ascii="Arial" w:hAnsi="Arial" w:eastAsia="Arial" w:cs="Arial"/>
          <w:b/>
          <w:color w:val="000000"/>
        </w:rPr>
        <w:t xml:space="preserve"> </w:t>
      </w:r>
      <w:r w:rsidRPr="007F0524">
        <w:rPr>
          <w:rFonts w:ascii="Arial" w:hAnsi="Arial" w:eastAsia="Arial" w:cs="Arial"/>
          <w:bCs/>
          <w:color w:val="000000"/>
        </w:rPr>
        <w:t>the National Housing and Homelessness Agreement (NHHA)</w:t>
      </w:r>
      <w:r w:rsidRPr="5F06FC77">
        <w:rPr>
          <w:rFonts w:ascii="Arial" w:hAnsi="Arial" w:eastAsia="Arial" w:cs="Arial"/>
          <w:color w:val="000000"/>
        </w:rPr>
        <w:t xml:space="preserve"> Study report with suggestions for improvement. </w:t>
      </w:r>
    </w:p>
    <w:p w:rsidR="00F16081" w:rsidP="00F16081" w:rsidRDefault="00F16081" w14:paraId="357F14FB" w14:textId="77777777"/>
    <w:p w:rsidRPr="007F0524" w:rsidR="00F16081" w:rsidP="00F16081" w:rsidRDefault="00F16081" w14:paraId="6754B148" w14:textId="77777777">
      <w:pPr>
        <w:rPr>
          <w:rFonts w:eastAsiaTheme="minorEastAsia" w:cstheme="minorBidi"/>
        </w:rPr>
      </w:pPr>
      <w:r w:rsidRPr="007F0524">
        <w:rPr>
          <w:rFonts w:eastAsiaTheme="minorEastAsia" w:cstheme="minorBidi"/>
        </w:rPr>
        <w:t>The report highlighted a lot of inefficiencies with the current NHHA and the need for governments to look at new ways of working together to improve housing outcomes for all Australians</w:t>
      </w:r>
      <w:r>
        <w:rPr>
          <w:rFonts w:eastAsiaTheme="minorEastAsia" w:cstheme="minorBidi"/>
        </w:rPr>
        <w:t xml:space="preserve">. </w:t>
      </w:r>
    </w:p>
    <w:p w:rsidR="00F16081" w:rsidP="00F16081" w:rsidRDefault="00F16081" w14:paraId="3721F7AA" w14:textId="77777777">
      <w:pPr>
        <w:spacing w:before="120" w:after="120"/>
      </w:pPr>
      <w:r w:rsidRPr="5F06FC77">
        <w:rPr>
          <w:rFonts w:ascii="Arial" w:hAnsi="Arial" w:eastAsia="Arial" w:cs="Arial"/>
          <w:b/>
          <w:bCs/>
        </w:rPr>
        <w:t xml:space="preserve">Recommendations:  </w:t>
      </w:r>
    </w:p>
    <w:p w:rsidRPr="005B0761" w:rsidR="00F16081" w:rsidP="00F16081" w:rsidRDefault="00F16081" w14:paraId="2D270CCD" w14:textId="77777777">
      <w:pPr>
        <w:pStyle w:val="BodyText"/>
        <w:rPr>
          <w:rFonts w:ascii="Arial" w:hAnsi="Arial" w:eastAsia="Arial" w:cs="Arial"/>
          <w:bCs/>
        </w:rPr>
      </w:pPr>
      <w:r w:rsidRPr="005B0761">
        <w:rPr>
          <w:rFonts w:eastAsiaTheme="minorEastAsia" w:cstheme="minorBidi"/>
          <w:bCs/>
        </w:rPr>
        <w:t>Some of the ways the current NHHA needs to change to be more effective are:</w:t>
      </w:r>
    </w:p>
    <w:p w:rsidRPr="004E703C" w:rsidR="00F16081" w:rsidP="00F16081" w:rsidRDefault="00F16081" w14:paraId="4E22D85B" w14:textId="77777777">
      <w:pPr>
        <w:pStyle w:val="ListBullet"/>
        <w:numPr>
          <w:ilvl w:val="0"/>
          <w:numId w:val="1"/>
        </w:numPr>
      </w:pPr>
      <w:r w:rsidRPr="004E703C">
        <w:t xml:space="preserve">Funded prevention and early intervention programs should be a priority to address the causes of homelessness for those at-risk cohorts (people leaving health &amp; </w:t>
      </w:r>
      <w:proofErr w:type="gramStart"/>
      <w:r w:rsidRPr="004E703C">
        <w:t>correctional facilities</w:t>
      </w:r>
      <w:proofErr w:type="gramEnd"/>
      <w:r w:rsidRPr="004E703C">
        <w:t xml:space="preserve"> and care, First Nation</w:t>
      </w:r>
      <w:r>
        <w:t>s</w:t>
      </w:r>
      <w:r w:rsidRPr="004E703C">
        <w:t xml:space="preserve"> people, young people, people needing support to maintain their tenancy</w:t>
      </w:r>
      <w:r>
        <w:t>)</w:t>
      </w:r>
    </w:p>
    <w:p w:rsidRPr="004E703C" w:rsidR="00F16081" w:rsidP="00F16081" w:rsidRDefault="00F16081" w14:paraId="29D30AA1" w14:textId="77777777">
      <w:pPr>
        <w:pStyle w:val="ListBullet"/>
        <w:numPr>
          <w:ilvl w:val="0"/>
          <w:numId w:val="1"/>
        </w:numPr>
      </w:pPr>
      <w:r w:rsidRPr="004E703C">
        <w:t xml:space="preserve">Commit to a study into the unmet need for homelessness support and a stocktake of current services, to determine the level of funding required to adequately meet the needs of people experiencing or at risk of homelessness.  </w:t>
      </w:r>
    </w:p>
    <w:p w:rsidRPr="00464101" w:rsidR="00F16081" w:rsidP="00F16081" w:rsidRDefault="00F16081" w14:paraId="204B87B9" w14:textId="77777777">
      <w:pPr>
        <w:rPr>
          <w:rFonts w:eastAsiaTheme="minorEastAsia" w:cstheme="minorBidi"/>
          <w:bCs/>
          <w:color w:val="000000"/>
        </w:rPr>
      </w:pPr>
      <w:r w:rsidRPr="181883BF">
        <w:rPr>
          <w:rFonts w:eastAsiaTheme="minorEastAsia" w:cstheme="minorBidi"/>
        </w:rPr>
        <w:t xml:space="preserve"> </w:t>
      </w:r>
      <w:r w:rsidRPr="00464101">
        <w:rPr>
          <w:rFonts w:eastAsiaTheme="minorEastAsia" w:cstheme="minorBidi"/>
          <w:bCs/>
          <w:color w:val="000000"/>
        </w:rPr>
        <w:t xml:space="preserve">The next Agreement should also include: </w:t>
      </w:r>
    </w:p>
    <w:p w:rsidRPr="00235C35" w:rsidR="00F16081" w:rsidP="00F16081" w:rsidRDefault="00F16081" w14:paraId="0CA297C1" w14:textId="77777777">
      <w:pPr>
        <w:pStyle w:val="ListBullet"/>
        <w:numPr>
          <w:ilvl w:val="0"/>
          <w:numId w:val="1"/>
        </w:numPr>
      </w:pPr>
      <w:r>
        <w:t>A</w:t>
      </w:r>
      <w:r w:rsidRPr="00235C35">
        <w:t xml:space="preserve">n endorsed set of principles for designing and delivering housing </w:t>
      </w:r>
      <w:proofErr w:type="gramStart"/>
      <w:r w:rsidRPr="00235C35">
        <w:t>assistance</w:t>
      </w:r>
      <w:proofErr w:type="gramEnd"/>
    </w:p>
    <w:p w:rsidRPr="00235C35" w:rsidR="00F16081" w:rsidP="00F16081" w:rsidRDefault="00F16081" w14:paraId="54A48EE5" w14:textId="77777777">
      <w:pPr>
        <w:pStyle w:val="ListBullet"/>
        <w:numPr>
          <w:ilvl w:val="0"/>
          <w:numId w:val="1"/>
        </w:numPr>
      </w:pPr>
      <w:r>
        <w:t>C</w:t>
      </w:r>
      <w:r w:rsidRPr="00235C35">
        <w:t xml:space="preserve">learer roles and responsibilities </w:t>
      </w:r>
    </w:p>
    <w:p w:rsidRPr="00235C35" w:rsidR="00F16081" w:rsidP="00F16081" w:rsidRDefault="00F16081" w14:paraId="480AC17B" w14:textId="77777777">
      <w:pPr>
        <w:pStyle w:val="ListBullet"/>
        <w:numPr>
          <w:ilvl w:val="0"/>
          <w:numId w:val="1"/>
        </w:numPr>
      </w:pPr>
      <w:r>
        <w:t>R</w:t>
      </w:r>
      <w:r w:rsidRPr="00235C35">
        <w:t xml:space="preserve">evised outcomes focused on improving outcomes for people across all tenure </w:t>
      </w:r>
      <w:proofErr w:type="gramStart"/>
      <w:r w:rsidRPr="00235C35">
        <w:t>types</w:t>
      </w:r>
      <w:proofErr w:type="gramEnd"/>
      <w:r w:rsidRPr="00235C35">
        <w:t xml:space="preserve"> </w:t>
      </w:r>
    </w:p>
    <w:p w:rsidRPr="00235C35" w:rsidR="00F16081" w:rsidP="00F16081" w:rsidRDefault="00F16081" w14:paraId="5FAD60CD" w14:textId="77777777">
      <w:pPr>
        <w:pStyle w:val="ListBullet"/>
        <w:numPr>
          <w:ilvl w:val="0"/>
          <w:numId w:val="1"/>
        </w:numPr>
      </w:pPr>
      <w:r>
        <w:t>M</w:t>
      </w:r>
      <w:r w:rsidRPr="00235C35">
        <w:t xml:space="preserve">eaningful, achievable and measurable targets focused on outcomes for </w:t>
      </w:r>
      <w:proofErr w:type="gramStart"/>
      <w:r w:rsidRPr="00235C35">
        <w:t>people</w:t>
      </w:r>
      <w:proofErr w:type="gramEnd"/>
    </w:p>
    <w:p w:rsidRPr="00235C35" w:rsidR="00F16081" w:rsidP="00F16081" w:rsidRDefault="00F16081" w14:paraId="19677F80" w14:textId="77777777">
      <w:pPr>
        <w:pStyle w:val="ListBullet"/>
        <w:numPr>
          <w:ilvl w:val="0"/>
          <w:numId w:val="1"/>
        </w:numPr>
      </w:pPr>
      <w:r>
        <w:t xml:space="preserve">A </w:t>
      </w:r>
      <w:r w:rsidRPr="00235C35">
        <w:t xml:space="preserve">single base funding pool for housing and homelessness services that is allocated to jurisdictions according to need and the costs of providing </w:t>
      </w:r>
      <w:proofErr w:type="gramStart"/>
      <w:r w:rsidRPr="00235C35">
        <w:t>services</w:t>
      </w:r>
      <w:proofErr w:type="gramEnd"/>
    </w:p>
    <w:p w:rsidRPr="00235C35" w:rsidR="00F16081" w:rsidP="00F16081" w:rsidRDefault="00F16081" w14:paraId="329321F9" w14:textId="77777777">
      <w:pPr>
        <w:pStyle w:val="ListBullet"/>
        <w:numPr>
          <w:ilvl w:val="0"/>
          <w:numId w:val="1"/>
        </w:numPr>
      </w:pPr>
      <w:r>
        <w:t>A</w:t>
      </w:r>
      <w:r w:rsidRPr="00235C35">
        <w:t xml:space="preserve">lignment with other agreements and policies, including the National Agreement on Closing the Gap and Australia’s Disability Strategy </w:t>
      </w:r>
    </w:p>
    <w:p w:rsidRPr="00235C35" w:rsidR="00F16081" w:rsidP="00F16081" w:rsidRDefault="00F16081" w14:paraId="518B2A71" w14:textId="77777777">
      <w:pPr>
        <w:pStyle w:val="ListBullet"/>
        <w:numPr>
          <w:ilvl w:val="0"/>
          <w:numId w:val="1"/>
        </w:numPr>
      </w:pPr>
      <w:r>
        <w:t xml:space="preserve">A </w:t>
      </w:r>
      <w:r w:rsidRPr="00235C35">
        <w:t xml:space="preserve">new approach to supporting Aboriginal and Torres Strait Islander housing and homelessness services, including capability building and effective involvement in the co-design of policies and </w:t>
      </w:r>
      <w:proofErr w:type="gramStart"/>
      <w:r w:rsidRPr="00235C35">
        <w:t>programs</w:t>
      </w:r>
      <w:proofErr w:type="gramEnd"/>
    </w:p>
    <w:p w:rsidRPr="00235C35" w:rsidR="00F16081" w:rsidP="00F16081" w:rsidRDefault="00F16081" w14:paraId="62E81AD9" w14:textId="77777777">
      <w:pPr>
        <w:pStyle w:val="ListBullet"/>
        <w:numPr>
          <w:ilvl w:val="0"/>
          <w:numId w:val="1"/>
        </w:numPr>
      </w:pPr>
      <w:r>
        <w:t xml:space="preserve">A </w:t>
      </w:r>
      <w:r w:rsidRPr="00235C35">
        <w:t xml:space="preserve">greater focus on building the evidence base essential for good policy and accountability. </w:t>
      </w:r>
    </w:p>
    <w:p w:rsidRPr="00F1081A" w:rsidR="00F9317F" w:rsidP="00F9317F" w:rsidRDefault="00F9317F" w14:paraId="3E10AEFA" w14:textId="77777777">
      <w:pPr>
        <w:pStyle w:val="BodyText"/>
      </w:pPr>
    </w:p>
    <w:p w:rsidRPr="00F1081A" w:rsidR="00F9317F" w:rsidP="00F9317F" w:rsidRDefault="00640A10" w14:paraId="211576A0" w14:textId="1AA47867">
      <w:pPr>
        <w:pStyle w:val="Heading1"/>
        <w:framePr w:wrap="around"/>
        <w:rPr>
          <w:rFonts w:eastAsiaTheme="minorEastAsia"/>
        </w:rPr>
      </w:pPr>
      <w:bookmarkStart w:name="_Toc147948918" w:id="68"/>
      <w:bookmarkStart w:name="_Toc1754332957" w:id="69"/>
      <w:bookmarkStart w:name="_Toc1742836231" w:id="70"/>
      <w:bookmarkStart w:name="_Toc1883127197" w:id="71"/>
      <w:bookmarkStart w:name="_Toc148697968" w:id="72"/>
      <w:r>
        <w:rPr>
          <w:rFonts w:eastAsiaTheme="minorEastAsia"/>
        </w:rPr>
        <w:t>Housing for Aboriginal and Torres Strait Islanders</w:t>
      </w:r>
      <w:bookmarkEnd w:id="68"/>
      <w:bookmarkEnd w:id="69"/>
      <w:bookmarkEnd w:id="70"/>
      <w:bookmarkEnd w:id="71"/>
      <w:bookmarkEnd w:id="72"/>
    </w:p>
    <w:p w:rsidR="181883BF" w:rsidP="181883BF" w:rsidRDefault="181883BF" w14:paraId="03ED38EF" w14:textId="0204196B">
      <w:pPr>
        <w:pStyle w:val="BodyText"/>
      </w:pPr>
    </w:p>
    <w:p w:rsidR="03FD5149" w:rsidP="181883BF" w:rsidRDefault="03FD5149" w14:paraId="7661B8E8" w14:textId="763DB7F0">
      <w:pPr>
        <w:pStyle w:val="Introduction"/>
      </w:pPr>
      <w:r>
        <w:t>This section discusses the challenges and barriers to Housing for Aboriginal and Torres Strait Islanders</w:t>
      </w:r>
      <w:r w:rsidR="005420E0">
        <w:t xml:space="preserve"> and recommendation for policy to improve </w:t>
      </w:r>
      <w:proofErr w:type="gramStart"/>
      <w:r w:rsidR="005420E0">
        <w:t>outcomes</w:t>
      </w:r>
      <w:proofErr w:type="gramEnd"/>
    </w:p>
    <w:p w:rsidRPr="00F1081A" w:rsidR="00F9317F" w:rsidP="00F9317F" w:rsidRDefault="00F9317F" w14:paraId="4A6087F7" w14:textId="3FE39135">
      <w:pPr>
        <w:pStyle w:val="BodyText"/>
      </w:pPr>
      <w:r w:rsidRPr="00F1081A">
        <w:t xml:space="preserve">There are approximately 3,562 people of Aboriginal and Torres Strait Islander background living in the </w:t>
      </w:r>
      <w:proofErr w:type="gramStart"/>
      <w:r w:rsidRPr="00F1081A">
        <w:t>City</w:t>
      </w:r>
      <w:proofErr w:type="gramEnd"/>
      <w:r w:rsidR="0C8E5370">
        <w:t xml:space="preserve"> (ABS 2021)</w:t>
      </w:r>
      <w:r w:rsidR="181E13DD">
        <w:t>,</w:t>
      </w:r>
      <w:r w:rsidRPr="00F1081A">
        <w:t xml:space="preserve"> which is the largest regional population of Aboriginal people in Victoria. Aboriginal people experience higher rates of unemployment, family violence and homelessness. </w:t>
      </w:r>
    </w:p>
    <w:p w:rsidRPr="00F1081A" w:rsidR="00F9317F" w:rsidP="00F9317F" w:rsidRDefault="0063039A" w14:paraId="744CD982" w14:textId="1F9B36AC">
      <w:pPr>
        <w:pStyle w:val="BodyText"/>
      </w:pPr>
      <w:r>
        <w:t xml:space="preserve">The </w:t>
      </w:r>
      <w:r w:rsidRPr="00F1081A" w:rsidR="00F9317F">
        <w:t>Geelong region has among the highest level of Aboriginal homelessness in Australia. </w:t>
      </w:r>
      <w:r w:rsidR="00040C44">
        <w:t xml:space="preserve"> </w:t>
      </w:r>
      <w:r w:rsidR="00C247E5">
        <w:t xml:space="preserve">There are </w:t>
      </w:r>
      <w:r w:rsidRPr="00F1081A" w:rsidR="00F9317F">
        <w:t xml:space="preserve">636 homes </w:t>
      </w:r>
      <w:r w:rsidR="00DA5D61">
        <w:t xml:space="preserve">required </w:t>
      </w:r>
      <w:r w:rsidRPr="00F1081A" w:rsidR="00F9317F">
        <w:t>for young Aboriginal families (3</w:t>
      </w:r>
      <w:r w:rsidR="72F415C5">
        <w:t>-</w:t>
      </w:r>
      <w:r w:rsidRPr="00F1081A" w:rsidR="00F9317F">
        <w:t>bedroom homes) in this region by 2041</w:t>
      </w:r>
      <w:r w:rsidR="25CA683E">
        <w:t xml:space="preserve"> (</w:t>
      </w:r>
      <w:proofErr w:type="spellStart"/>
      <w:r w:rsidR="25CA683E">
        <w:t>CoGG</w:t>
      </w:r>
      <w:proofErr w:type="spellEnd"/>
      <w:r w:rsidR="25CA683E">
        <w:t xml:space="preserve"> 2021)</w:t>
      </w:r>
      <w:r w:rsidR="181E13DD">
        <w:t>.</w:t>
      </w:r>
      <w:r w:rsidRPr="00F1081A" w:rsidR="00F9317F">
        <w:t xml:space="preserve"> There are about 1</w:t>
      </w:r>
      <w:r w:rsidR="068615C0">
        <w:t>.7</w:t>
      </w:r>
      <w:r w:rsidR="001218C5">
        <w:t xml:space="preserve"> per cent</w:t>
      </w:r>
      <w:r w:rsidRPr="00F1081A" w:rsidR="00F9317F">
        <w:t xml:space="preserve"> of Geelong’s population are Aboriginal or Torres Strait Islanders compared to 0.5</w:t>
      </w:r>
      <w:r w:rsidR="001218C5">
        <w:t xml:space="preserve"> per cent</w:t>
      </w:r>
      <w:r w:rsidRPr="00F1081A" w:rsidR="00F9317F">
        <w:t xml:space="preserve"> in Greater Melbourne</w:t>
      </w:r>
      <w:r w:rsidR="42F787A0">
        <w:t xml:space="preserve"> (ABS 2021)</w:t>
      </w:r>
      <w:r w:rsidR="181E13DD">
        <w:t>.</w:t>
      </w:r>
      <w:r w:rsidRPr="00F1081A" w:rsidR="00F9317F">
        <w:t xml:space="preserve"> Aboriginal Housing Victoria provides estimated 87 long term properties as social housing, with about half of these in Corio</w:t>
      </w:r>
      <w:r w:rsidR="001218C5">
        <w:t xml:space="preserve"> and </w:t>
      </w:r>
      <w:r w:rsidRPr="00F1081A" w:rsidR="00F9317F">
        <w:t>Norlane. </w:t>
      </w:r>
    </w:p>
    <w:p w:rsidRPr="00F1081A" w:rsidR="00F9317F" w:rsidP="001218C5" w:rsidRDefault="00F9317F" w14:paraId="434134B5" w14:textId="46414636">
      <w:pPr>
        <w:pStyle w:val="BodyText"/>
      </w:pPr>
      <w:r w:rsidRPr="00F1081A">
        <w:t>Opportunities for the National Housing and Homelessness Plan </w:t>
      </w:r>
      <w:r w:rsidR="001218C5">
        <w:t xml:space="preserve">are: </w:t>
      </w:r>
    </w:p>
    <w:p w:rsidRPr="00F1081A" w:rsidR="00F9317F" w:rsidP="001218C5" w:rsidRDefault="00F9317F" w14:paraId="19C1927F" w14:textId="7BCE07E3">
      <w:pPr>
        <w:pStyle w:val="ListBullet"/>
        <w:numPr>
          <w:ilvl w:val="0"/>
          <w:numId w:val="1"/>
        </w:numPr>
      </w:pPr>
      <w:r w:rsidRPr="00F1081A">
        <w:t>Realising the aspiration of Aboriginal and Torres Strait Islanders for greater self-determination for that improve housing opportunities for home ownership, access to housing, employment opportunities in their own communities. </w:t>
      </w:r>
    </w:p>
    <w:p w:rsidRPr="00F1081A" w:rsidR="00F9317F" w:rsidP="001218C5" w:rsidRDefault="00F9317F" w14:paraId="22286F32" w14:textId="648CCF8B">
      <w:pPr>
        <w:pStyle w:val="ListBullet"/>
        <w:numPr>
          <w:ilvl w:val="0"/>
          <w:numId w:val="1"/>
        </w:numPr>
      </w:pPr>
      <w:r w:rsidRPr="00F1081A">
        <w:t xml:space="preserve">build support for self-determination for housing based on culture and heritage of Traditional Owners that have a spiritual, physical, </w:t>
      </w:r>
      <w:proofErr w:type="gramStart"/>
      <w:r w:rsidRPr="00F1081A">
        <w:t>social</w:t>
      </w:r>
      <w:proofErr w:type="gramEnd"/>
      <w:r w:rsidRPr="00F1081A">
        <w:t xml:space="preserve"> and cultural connection with their land. Land management and care are vital for Aboriginal health and provide jobs. </w:t>
      </w:r>
    </w:p>
    <w:p w:rsidRPr="00F1081A" w:rsidR="00F9317F" w:rsidP="001218C5" w:rsidRDefault="00F9317F" w14:paraId="5455A5F7" w14:textId="07EA51BA">
      <w:pPr>
        <w:pStyle w:val="ListBullet"/>
        <w:numPr>
          <w:ilvl w:val="0"/>
          <w:numId w:val="1"/>
        </w:numPr>
      </w:pPr>
      <w:r w:rsidRPr="00F1081A">
        <w:t>Support self-determination in housing where Aboriginal communities can set their priorities, co-design in housing and own local housing management plan. </w:t>
      </w:r>
    </w:p>
    <w:p w:rsidRPr="00F1081A" w:rsidR="00F9317F" w:rsidP="001218C5" w:rsidRDefault="00F9317F" w14:paraId="63EA1EE5" w14:textId="65BE9054">
      <w:pPr>
        <w:pStyle w:val="ListBullet"/>
        <w:numPr>
          <w:ilvl w:val="0"/>
          <w:numId w:val="1"/>
        </w:numPr>
      </w:pPr>
      <w:r w:rsidRPr="00F1081A">
        <w:t>Support these initiatives by forming partnerships that acknowledges the pivotal role of Aboriginal people in addressing the communities housing needs, where Aboriginal voice is key to decision making. </w:t>
      </w:r>
    </w:p>
    <w:p w:rsidRPr="00F1081A" w:rsidR="00F9317F" w:rsidP="001218C5" w:rsidRDefault="00F9317F" w14:paraId="137C56D4" w14:textId="2C4188AB">
      <w:pPr>
        <w:pStyle w:val="ListBullet"/>
        <w:numPr>
          <w:ilvl w:val="0"/>
          <w:numId w:val="1"/>
        </w:numPr>
      </w:pPr>
      <w:r w:rsidRPr="00F1081A">
        <w:t>Alignment and advocacy through Geelong’s Reconciliation Action Plan. </w:t>
      </w:r>
    </w:p>
    <w:p w:rsidRPr="00F1081A" w:rsidR="00F9317F" w:rsidP="00F9317F" w:rsidRDefault="00F9317F" w14:paraId="241BCCBF" w14:textId="77777777">
      <w:pPr>
        <w:pStyle w:val="BodyText"/>
      </w:pPr>
      <w:r w:rsidRPr="00F1081A">
        <w:t> </w:t>
      </w:r>
    </w:p>
    <w:p w:rsidR="00245C6E" w:rsidP="00F9317F" w:rsidRDefault="00245C6E" w14:paraId="14E06BB4" w14:textId="77777777">
      <w:pPr>
        <w:pStyle w:val="BodyText"/>
        <w:rPr>
          <w:rFonts w:eastAsiaTheme="minorEastAsia"/>
          <w:b/>
        </w:rPr>
      </w:pPr>
    </w:p>
    <w:p w:rsidR="00041138" w:rsidP="00F9317F" w:rsidRDefault="00041138" w14:paraId="7422FDB3" w14:textId="77777777">
      <w:pPr>
        <w:pStyle w:val="BodyText"/>
        <w:rPr>
          <w:rFonts w:eastAsiaTheme="minorEastAsia"/>
          <w:b/>
        </w:rPr>
      </w:pPr>
    </w:p>
    <w:p w:rsidRPr="00F1081A" w:rsidR="00F9317F" w:rsidP="00F9317F" w:rsidRDefault="00F9317F" w14:paraId="598A8B09" w14:textId="6F74EFDE">
      <w:pPr>
        <w:pStyle w:val="BodyText"/>
        <w:rPr>
          <w:rFonts w:eastAsiaTheme="minorEastAsia"/>
          <w:b/>
        </w:rPr>
      </w:pPr>
      <w:r w:rsidRPr="00F1081A">
        <w:rPr>
          <w:rFonts w:eastAsiaTheme="minorEastAsia"/>
          <w:b/>
        </w:rPr>
        <w:t>Recommendations: </w:t>
      </w:r>
    </w:p>
    <w:p w:rsidRPr="00F1081A" w:rsidR="00F9317F" w:rsidP="00F9317F" w:rsidRDefault="00F9317F" w14:paraId="3304B555" w14:textId="77777777">
      <w:pPr>
        <w:pStyle w:val="BodyText"/>
        <w:rPr>
          <w:rFonts w:eastAsiaTheme="minorEastAsia"/>
          <w:b/>
        </w:rPr>
      </w:pPr>
      <w:r w:rsidRPr="00F1081A">
        <w:rPr>
          <w:rFonts w:eastAsiaTheme="minorEastAsia"/>
          <w:b/>
        </w:rPr>
        <w:t xml:space="preserve">How can governments, across all levels, best work with communities to support better housing outcomes for Aboriginal and Torres Strait Islander peoples? </w:t>
      </w:r>
    </w:p>
    <w:p w:rsidRPr="00F1081A" w:rsidR="00F9317F" w:rsidP="001218C5" w:rsidRDefault="00F9317F" w14:paraId="50BADA28" w14:textId="373C2588">
      <w:pPr>
        <w:pStyle w:val="ListBullet"/>
        <w:numPr>
          <w:ilvl w:val="0"/>
          <w:numId w:val="1"/>
        </w:numPr>
      </w:pPr>
      <w:r w:rsidRPr="00F1081A">
        <w:t xml:space="preserve">Aboriginal voices to be at the centre of decision making. In example, National Aboriginal and Torres Strait Islander Housing Association (NATSIHA) has suggested a supplementary funding program where a difference can be made for First Nations Peoples housing needs, especially around those levels of disadvantage that are indicators in the close the gap targets. </w:t>
      </w:r>
    </w:p>
    <w:p w:rsidRPr="00F1081A" w:rsidR="00F9317F" w:rsidP="001218C5" w:rsidRDefault="00F9317F" w14:paraId="3957286D" w14:textId="77777777">
      <w:pPr>
        <w:pStyle w:val="ListBullet"/>
        <w:numPr>
          <w:ilvl w:val="0"/>
          <w:numId w:val="1"/>
        </w:numPr>
      </w:pPr>
      <w:r w:rsidRPr="00F1081A">
        <w:t>Safe places that are accessible when needed </w:t>
      </w:r>
    </w:p>
    <w:p w:rsidRPr="00F1081A" w:rsidR="00F9317F" w:rsidP="001218C5" w:rsidRDefault="00F9317F" w14:paraId="5FB6A5E7" w14:textId="77777777">
      <w:pPr>
        <w:pStyle w:val="ListBullet"/>
        <w:numPr>
          <w:ilvl w:val="0"/>
          <w:numId w:val="1"/>
        </w:numPr>
      </w:pPr>
      <w:r w:rsidRPr="00F1081A">
        <w:t>Pathways for home ownership that are accessible and focused more on culture and heritage. </w:t>
      </w:r>
    </w:p>
    <w:p w:rsidRPr="00F1081A" w:rsidR="00F9317F" w:rsidP="001218C5" w:rsidRDefault="00F9317F" w14:paraId="7D07739E" w14:textId="32E55665">
      <w:pPr>
        <w:pStyle w:val="ListBullet"/>
        <w:numPr>
          <w:ilvl w:val="0"/>
          <w:numId w:val="1"/>
        </w:numPr>
      </w:pPr>
      <w:r w:rsidRPr="00F1081A">
        <w:t xml:space="preserve">Provide better access to housing in different needs for rental </w:t>
      </w:r>
      <w:r w:rsidR="0055032E">
        <w:t>and</w:t>
      </w:r>
      <w:r w:rsidRPr="00F1081A">
        <w:t xml:space="preserve"> ownership. </w:t>
      </w:r>
    </w:p>
    <w:p w:rsidRPr="00F1081A" w:rsidR="00F9317F" w:rsidP="001218C5" w:rsidRDefault="00F9317F" w14:paraId="21EB7966" w14:textId="23303776">
      <w:pPr>
        <w:pStyle w:val="ListBullet"/>
        <w:numPr>
          <w:ilvl w:val="0"/>
          <w:numId w:val="1"/>
        </w:numPr>
      </w:pPr>
      <w:r w:rsidRPr="00F1081A">
        <w:t>Collective action to eliminate homelessness.</w:t>
      </w:r>
    </w:p>
    <w:p w:rsidRPr="00F1081A" w:rsidR="00F9317F" w:rsidP="001218C5" w:rsidRDefault="00F9317F" w14:paraId="619D016A" w14:textId="77777777">
      <w:pPr>
        <w:pStyle w:val="ListBullet"/>
        <w:numPr>
          <w:ilvl w:val="0"/>
          <w:numId w:val="1"/>
        </w:numPr>
      </w:pPr>
      <w:r w:rsidRPr="00F1081A">
        <w:t>Providing better services, share information and work together as well as identify weaknesses in Aboriginal self-determination within the system.</w:t>
      </w:r>
    </w:p>
    <w:p w:rsidRPr="00F1081A" w:rsidR="00F9317F" w:rsidP="001218C5" w:rsidRDefault="00F9317F" w14:paraId="23FD1ED6" w14:textId="55A72FEC">
      <w:pPr>
        <w:pStyle w:val="ListBullet"/>
        <w:numPr>
          <w:ilvl w:val="0"/>
          <w:numId w:val="1"/>
        </w:numPr>
      </w:pPr>
      <w:r w:rsidRPr="00F1081A">
        <w:t xml:space="preserve">Support Aboriginal organisations that are under-resourced where funding is inadequate and unifying all effort instead of attempting to solve each of the current challenges separately. </w:t>
      </w:r>
    </w:p>
    <w:p w:rsidRPr="00F1081A" w:rsidR="00F9317F" w:rsidP="001218C5" w:rsidRDefault="00F9317F" w14:paraId="7F797847" w14:textId="55A72FEC">
      <w:pPr>
        <w:pStyle w:val="ListBullet"/>
        <w:numPr>
          <w:ilvl w:val="0"/>
          <w:numId w:val="1"/>
        </w:numPr>
      </w:pPr>
      <w:r w:rsidRPr="00F1081A">
        <w:t xml:space="preserve">For the over representation of Aboriginal people experiencing homelessness, it requires innovative approach from a holistic and systems perspective the design homelessness reforms in Victoria by providing tailored support for those at risk increasing the supply of crisis and transitional housing. </w:t>
      </w:r>
    </w:p>
    <w:p w:rsidR="00F9317F" w:rsidP="001218C5" w:rsidRDefault="00F9317F" w14:paraId="28D590F5" w14:textId="1585D5A6">
      <w:pPr>
        <w:pStyle w:val="ListBullet"/>
        <w:numPr>
          <w:ilvl w:val="0"/>
          <w:numId w:val="1"/>
        </w:numPr>
      </w:pPr>
      <w:r>
        <w:t>Provide strong housing</w:t>
      </w:r>
      <w:r w:rsidR="34E86521">
        <w:t xml:space="preserve"> targets </w:t>
      </w:r>
      <w:r w:rsidR="00245C6E">
        <w:t>and</w:t>
      </w:r>
      <w:r w:rsidRPr="00F1081A">
        <w:t xml:space="preserve"> all relevant mainstream policies legislation strategies and </w:t>
      </w:r>
      <w:r w:rsidR="2077EEA0">
        <w:t>program targets</w:t>
      </w:r>
      <w:r w:rsidRPr="00F1081A">
        <w:t xml:space="preserve"> in the National </w:t>
      </w:r>
      <w:r w:rsidR="1E21EA71">
        <w:t>H</w:t>
      </w:r>
      <w:r>
        <w:t xml:space="preserve">ousing </w:t>
      </w:r>
      <w:r w:rsidRPr="00F1081A">
        <w:t xml:space="preserve">and </w:t>
      </w:r>
      <w:r w:rsidR="6FE7321B">
        <w:t>H</w:t>
      </w:r>
      <w:r>
        <w:t xml:space="preserve">omelessness </w:t>
      </w:r>
      <w:r w:rsidR="275F14AA">
        <w:t>A</w:t>
      </w:r>
      <w:r>
        <w:t xml:space="preserve">greement </w:t>
      </w:r>
      <w:r w:rsidR="5894C454">
        <w:t>with</w:t>
      </w:r>
      <w:r w:rsidRPr="00F1081A">
        <w:t xml:space="preserve"> relevant legislation.</w:t>
      </w:r>
    </w:p>
    <w:p w:rsidRPr="00F1081A" w:rsidR="00BF6543" w:rsidP="00BF6543" w:rsidRDefault="00BF6543" w14:paraId="0D038427" w14:textId="77777777">
      <w:pPr>
        <w:pStyle w:val="Heading1"/>
        <w:framePr w:wrap="around"/>
        <w:rPr>
          <w:rFonts w:eastAsiaTheme="minorEastAsia"/>
        </w:rPr>
      </w:pPr>
      <w:bookmarkStart w:name="_Toc147948914" w:id="73"/>
      <w:bookmarkStart w:name="_Toc2034397473" w:id="74"/>
      <w:bookmarkStart w:name="_Toc139569980" w:id="75"/>
      <w:bookmarkStart w:name="_Toc1304366309" w:id="76"/>
      <w:bookmarkStart w:name="_Toc148697961" w:id="77"/>
      <w:r>
        <w:rPr>
          <w:rFonts w:eastAsiaTheme="minorEastAsia"/>
        </w:rPr>
        <w:t xml:space="preserve">Planning system, </w:t>
      </w:r>
      <w:proofErr w:type="gramStart"/>
      <w:r>
        <w:rPr>
          <w:rFonts w:eastAsiaTheme="minorEastAsia"/>
        </w:rPr>
        <w:t>housing</w:t>
      </w:r>
      <w:proofErr w:type="gramEnd"/>
      <w:r>
        <w:rPr>
          <w:rFonts w:eastAsiaTheme="minorEastAsia"/>
        </w:rPr>
        <w:t xml:space="preserve"> and sustainability</w:t>
      </w:r>
      <w:bookmarkEnd w:id="74"/>
      <w:bookmarkEnd w:id="75"/>
      <w:bookmarkEnd w:id="76"/>
      <w:bookmarkEnd w:id="77"/>
      <w:r>
        <w:rPr>
          <w:rFonts w:eastAsiaTheme="minorEastAsia"/>
        </w:rPr>
        <w:t xml:space="preserve"> </w:t>
      </w:r>
      <w:bookmarkEnd w:id="73"/>
    </w:p>
    <w:p w:rsidR="00BF6543" w:rsidP="00BF6543" w:rsidRDefault="00BF6543" w14:paraId="5AF17EBE" w14:textId="77777777">
      <w:pPr>
        <w:pStyle w:val="Introduction"/>
      </w:pPr>
      <w:r>
        <w:t>This section discusses the planning system in relation to strategic planning and regulation of housing and the importance of integrating sustainability within it.</w:t>
      </w:r>
    </w:p>
    <w:p w:rsidR="00BF6543" w:rsidP="00BF6543" w:rsidRDefault="00BF6543" w14:paraId="7D983029" w14:textId="77777777">
      <w:pPr>
        <w:pStyle w:val="BodyText"/>
      </w:pPr>
      <w:r>
        <w:t xml:space="preserve">Integration of housing and planning will be key to outcomes in housing diversity, </w:t>
      </w:r>
      <w:proofErr w:type="gramStart"/>
      <w:r>
        <w:t>sustainability</w:t>
      </w:r>
      <w:proofErr w:type="gramEnd"/>
      <w:r>
        <w:t xml:space="preserve"> and climate resilience outcomes in local areas.</w:t>
      </w:r>
    </w:p>
    <w:p w:rsidRPr="00F1081A" w:rsidR="00BF6543" w:rsidP="00BF6543" w:rsidRDefault="00BF6543" w14:paraId="527C9FBC" w14:textId="77777777">
      <w:pPr>
        <w:pStyle w:val="BodyText"/>
      </w:pPr>
      <w:r w:rsidRPr="00F1081A">
        <w:t xml:space="preserve">As a regional city, the demand of housing in Geelong is being met by market housing and by significant proportion of large dwellings. </w:t>
      </w:r>
      <w:r>
        <w:t>T</w:t>
      </w:r>
      <w:r w:rsidRPr="00F1081A">
        <w:t xml:space="preserve">here is not enough housing diversity for more choices in communities. </w:t>
      </w:r>
    </w:p>
    <w:p w:rsidRPr="00F1081A" w:rsidR="00BF6543" w:rsidP="00BF6543" w:rsidRDefault="00BF6543" w14:paraId="1208DF78" w14:textId="77777777">
      <w:pPr>
        <w:pStyle w:val="BodyText"/>
      </w:pPr>
      <w:r w:rsidRPr="00F1081A">
        <w:t>The housing market relies heavily on market participation, by landowners and developers to underwrite the risk in developing diverse housing choices to communitie</w:t>
      </w:r>
      <w:r w:rsidRPr="00F9317F">
        <w:t>s.</w:t>
      </w:r>
      <w:r w:rsidRPr="00F1081A">
        <w:t xml:space="preserve"> The trend toward higher densities </w:t>
      </w:r>
      <w:r>
        <w:t>is</w:t>
      </w:r>
      <w:r w:rsidRPr="00F1081A">
        <w:t xml:space="preserve"> changing</w:t>
      </w:r>
      <w:r>
        <w:t>. However,</w:t>
      </w:r>
      <w:r w:rsidRPr="00F1081A">
        <w:t xml:space="preserve"> there are still not enough developers delivering medium density housing projects in Geelong to increase valuations, even </w:t>
      </w:r>
      <w:r>
        <w:t xml:space="preserve">in </w:t>
      </w:r>
      <w:r w:rsidRPr="00F1081A">
        <w:t>well</w:t>
      </w:r>
      <w:r>
        <w:t>-</w:t>
      </w:r>
      <w:r w:rsidRPr="00F1081A">
        <w:t xml:space="preserve">planned locations with transport and other infrastructure. Any increase in density happens incrementally over time, with the expectation of alignment with the market valuations and opportunities. The best intention and objectives in planning, including provision of transport infrastructure that are planned with appropriate increase in density, housing diversity strategies with higher densities will not succeed until such time that valuations support it, creating a conundrum. </w:t>
      </w:r>
    </w:p>
    <w:p w:rsidRPr="00F1081A" w:rsidR="00BF6543" w:rsidP="00BF6543" w:rsidRDefault="00BF6543" w14:paraId="7971AED8" w14:textId="77777777">
      <w:pPr>
        <w:pStyle w:val="BodyText"/>
      </w:pPr>
      <w:r w:rsidRPr="00F1081A">
        <w:t>As such, the role of an effective local planning system both in strategic planning and implementation is vital and require</w:t>
      </w:r>
      <w:r>
        <w:t>d to</w:t>
      </w:r>
      <w:r w:rsidRPr="00F1081A">
        <w:t xml:space="preserve"> interface with </w:t>
      </w:r>
      <w:r>
        <w:t xml:space="preserve">the </w:t>
      </w:r>
      <w:r w:rsidRPr="00F1081A">
        <w:t>National Housing and Homelessness Plan initiatives at state and local levels in alignment with urban policies</w:t>
      </w:r>
      <w:r>
        <w:t xml:space="preserve">. </w:t>
      </w:r>
      <w:r w:rsidRPr="00F1081A">
        <w:t>The role and operation of the planning system in responding to the required housing functions are complex, requiring a balanced approach in enabling or cutting red tape for a more efficient delivery system. The planning system alone will not solve housing affordability and supply issues unless funding can be directed</w:t>
      </w:r>
      <w:r>
        <w:t xml:space="preserve"> to</w:t>
      </w:r>
      <w:r w:rsidRPr="00F1081A">
        <w:t xml:space="preserve"> support and streamline the delivery of required local infrastructure and boost to the valuation for housing projects that meet objectives of a national urban policy.</w:t>
      </w:r>
    </w:p>
    <w:p w:rsidRPr="00F1081A" w:rsidR="00BF6543" w:rsidP="00BF6543" w:rsidRDefault="00BF6543" w14:paraId="194D93C6" w14:textId="77777777">
      <w:pPr>
        <w:pStyle w:val="BodyText"/>
      </w:pPr>
      <w:r w:rsidRPr="00F1081A">
        <w:t xml:space="preserve">The following sections discuss some of the issues faced in planning </w:t>
      </w:r>
      <w:r>
        <w:t xml:space="preserve">for Geelong’s growth </w:t>
      </w:r>
      <w:r w:rsidRPr="00F1081A">
        <w:t>along with recommendations.</w:t>
      </w:r>
    </w:p>
    <w:p w:rsidRPr="00B93221" w:rsidR="00BF6543" w:rsidP="00BF6543" w:rsidRDefault="00BF6543" w14:paraId="502ADDC8" w14:textId="77777777">
      <w:pPr>
        <w:pStyle w:val="Heading2"/>
        <w:rPr>
          <w:rFonts w:eastAsiaTheme="minorEastAsia"/>
        </w:rPr>
      </w:pPr>
      <w:r>
        <w:rPr>
          <w:rFonts w:eastAsiaTheme="minorEastAsia"/>
        </w:rPr>
        <w:br w:type="column"/>
      </w:r>
      <w:bookmarkStart w:name="_Toc148697962" w:id="78"/>
      <w:r w:rsidRPr="00B93221">
        <w:rPr>
          <w:rFonts w:eastAsiaTheme="minorEastAsia"/>
        </w:rPr>
        <w:t xml:space="preserve">Infrastructure planning </w:t>
      </w:r>
      <w:r>
        <w:rPr>
          <w:rFonts w:eastAsiaTheme="minorEastAsia"/>
        </w:rPr>
        <w:t>and funding</w:t>
      </w:r>
      <w:bookmarkEnd w:id="78"/>
    </w:p>
    <w:p w:rsidR="00BF6543" w:rsidP="00BF6543" w:rsidRDefault="00BF6543" w14:paraId="178B2D1B" w14:textId="77777777">
      <w:pPr>
        <w:pStyle w:val="BodyText"/>
      </w:pPr>
      <w:r w:rsidRPr="00F1081A">
        <w:t>Urban renewal and growth areas mostly rely on state-led infrastructure and public transport delivery program where the public transport options mostly determine the urban structure and density, staging and implementation in a new precinct. The state</w:t>
      </w:r>
      <w:r>
        <w:t xml:space="preserve"> funded</w:t>
      </w:r>
      <w:r w:rsidRPr="00F1081A">
        <w:t xml:space="preserve"> infrastructure program should coordinate closely with local planning authorities on forecasting and identifying locations for greater housing and create infrastructure-ready opportunities for new precincts. </w:t>
      </w:r>
    </w:p>
    <w:p w:rsidR="00BF6543" w:rsidP="00BF6543" w:rsidRDefault="00BF6543" w14:paraId="514E2A6B" w14:textId="77777777">
      <w:pPr>
        <w:pStyle w:val="BodyText"/>
      </w:pPr>
      <w:r>
        <w:t xml:space="preserve">Geelong’s next major growth front is the Northern and Western Geelong Growth Areas and will be home to 110,000 residents. To realise sustainable development outcomes the development will </w:t>
      </w:r>
      <w:r w:rsidRPr="00F1081A">
        <w:t xml:space="preserve">rely on new </w:t>
      </w:r>
      <w:r>
        <w:t xml:space="preserve">mass </w:t>
      </w:r>
      <w:r w:rsidRPr="00F1081A">
        <w:t xml:space="preserve">transit services by Department of Transport and Planning (Victoria) and the state government’s commitment to the Geelong-Bannockburn </w:t>
      </w:r>
      <w:r>
        <w:t>p</w:t>
      </w:r>
      <w:r w:rsidRPr="00F1081A">
        <w:t xml:space="preserve">assenger </w:t>
      </w:r>
      <w:r>
        <w:t>r</w:t>
      </w:r>
      <w:r w:rsidRPr="00F1081A">
        <w:t xml:space="preserve">ailway </w:t>
      </w:r>
      <w:r>
        <w:t>l</w:t>
      </w:r>
      <w:r w:rsidRPr="00F1081A">
        <w:t xml:space="preserve">ine. </w:t>
      </w:r>
    </w:p>
    <w:p w:rsidRPr="00F1081A" w:rsidR="00BF6543" w:rsidP="00BF6543" w:rsidRDefault="00BF6543" w14:paraId="3EBE1AE5" w14:textId="77777777">
      <w:pPr>
        <w:pStyle w:val="BodyText"/>
      </w:pPr>
      <w:r w:rsidRPr="00F1081A">
        <w:t xml:space="preserve">While there is no sufficient transport program by the state government to support these growth areas, the density cannot be increased to support greater affordability and more homes that are accessible to public transport. The lack of commitment or funding for </w:t>
      </w:r>
      <w:r>
        <w:t>city shaping</w:t>
      </w:r>
      <w:r w:rsidRPr="00F1081A">
        <w:t xml:space="preserve"> infrastructure also leads to the greater economic burden </w:t>
      </w:r>
      <w:r>
        <w:t xml:space="preserve">on households living in areas without access to transport choices that provide access to higher order employment. </w:t>
      </w:r>
    </w:p>
    <w:p w:rsidR="00BF6543" w:rsidP="00BF6543" w:rsidRDefault="00BF6543" w14:paraId="1E1A9CBC" w14:textId="77777777">
      <w:pPr>
        <w:pStyle w:val="BodyText"/>
      </w:pPr>
      <w:r>
        <w:t xml:space="preserve">Infrastructure cost for roads, drainage, sewer, potable and recycled water in Victorian greenfield developments have risen significantly by 46 per cent between Q2 2018 to Q1 2023 (SMEC 2023) and it is putting pressure on development contributions system to collect and deliver infrastructure that support new housing development in growth areas, including in regional cities like Geelong. </w:t>
      </w:r>
    </w:p>
    <w:p w:rsidR="00BF6543" w:rsidP="00BF6543" w:rsidRDefault="00BF6543" w14:paraId="7DFB8E18" w14:textId="77777777">
      <w:pPr>
        <w:pStyle w:val="BodyText"/>
      </w:pPr>
      <w:r>
        <w:t xml:space="preserve">Reducing the scope or scale of local infrastructure charges has been floated as a solution to increasing house prices.   </w:t>
      </w:r>
    </w:p>
    <w:p w:rsidR="00BF6543" w:rsidP="00BF6543" w:rsidRDefault="00BF6543" w14:paraId="36871898" w14:textId="77777777">
      <w:pPr>
        <w:pStyle w:val="BodyText"/>
      </w:pPr>
      <w:r>
        <w:t xml:space="preserve">Funding infrastructure with development contributions is justified compared to taxes or rates because it encourages more efficient use of land and economies of scale (Productivity Commission 2014). In turn, developers can predict and account for a wider range of infrastructure costs when developing land for housing. </w:t>
      </w:r>
    </w:p>
    <w:p w:rsidR="00BF6543" w:rsidP="00BF6543" w:rsidRDefault="00BF6543" w14:paraId="77C74C04" w14:textId="77777777">
      <w:pPr>
        <w:pStyle w:val="BodyText"/>
      </w:pPr>
      <w:r>
        <w:t xml:space="preserve">Any changes to the development contributions system will have to be measured and targeted to achieve housing affordability outcomes that aligns delivery of required community infrastructure. Otherwise, there will be significant trade-off between efficiency in collecting development charges, housing </w:t>
      </w:r>
      <w:proofErr w:type="gramStart"/>
      <w:r>
        <w:t>affordability</w:t>
      </w:r>
      <w:proofErr w:type="gramEnd"/>
      <w:r>
        <w:t xml:space="preserve"> and delivering infrastructure to serve our communities.</w:t>
      </w:r>
    </w:p>
    <w:p w:rsidRPr="009A7420" w:rsidR="00BF6543" w:rsidP="00BF6543" w:rsidRDefault="00BF6543" w14:paraId="33BC3CA0" w14:textId="77777777">
      <w:pPr>
        <w:pStyle w:val="BodyText"/>
        <w:rPr>
          <w:rFonts w:eastAsiaTheme="minorEastAsia"/>
          <w:b/>
          <w:bCs/>
        </w:rPr>
      </w:pPr>
      <w:r w:rsidRPr="06E0383F">
        <w:rPr>
          <w:rFonts w:eastAsiaTheme="minorEastAsia"/>
          <w:b/>
          <w:bCs/>
        </w:rPr>
        <w:t>Recommendations:</w:t>
      </w:r>
    </w:p>
    <w:p w:rsidRPr="00F1081A" w:rsidR="00BF6543" w:rsidP="00BF6543" w:rsidRDefault="00BF6543" w14:paraId="576E93AD" w14:textId="77777777">
      <w:pPr>
        <w:pStyle w:val="ListBullet"/>
        <w:numPr>
          <w:ilvl w:val="0"/>
          <w:numId w:val="1"/>
        </w:numPr>
      </w:pPr>
      <w:bookmarkStart w:name="_Hlk147751037" w:id="79"/>
      <w:r>
        <w:t>C</w:t>
      </w:r>
      <w:r w:rsidRPr="00F1081A">
        <w:t xml:space="preserve">oordination of state-led infrastructure planning and local planning in regional cities for greater transparency </w:t>
      </w:r>
      <w:r>
        <w:t>in the</w:t>
      </w:r>
      <w:r w:rsidRPr="00F1081A">
        <w:t xml:space="preserve"> infrastructure </w:t>
      </w:r>
      <w:r>
        <w:t xml:space="preserve">planning </w:t>
      </w:r>
      <w:r w:rsidRPr="00F1081A">
        <w:t xml:space="preserve">program that can support planning authorities to </w:t>
      </w:r>
      <w:bookmarkEnd w:id="79"/>
      <w:r>
        <w:t xml:space="preserve">align sustainable growth objectives with outcomes on the ground. </w:t>
      </w:r>
    </w:p>
    <w:p w:rsidRPr="00F1081A" w:rsidR="00BF6543" w:rsidP="00BF6543" w:rsidRDefault="00BF6543" w14:paraId="48242D9D" w14:textId="77777777">
      <w:pPr>
        <w:pStyle w:val="ListBullet"/>
        <w:numPr>
          <w:ilvl w:val="0"/>
          <w:numId w:val="1"/>
        </w:numPr>
      </w:pPr>
      <w:r>
        <w:t>F</w:t>
      </w:r>
      <w:r w:rsidRPr="00F1081A">
        <w:t xml:space="preserve">unding to support </w:t>
      </w:r>
      <w:r>
        <w:t xml:space="preserve">state and </w:t>
      </w:r>
      <w:r w:rsidRPr="00F1081A">
        <w:t>local planning authorities to prepare an infrastructure and growth alignment plan</w:t>
      </w:r>
      <w:r>
        <w:t>s</w:t>
      </w:r>
      <w:r w:rsidRPr="00F1081A">
        <w:t>.</w:t>
      </w:r>
    </w:p>
    <w:p w:rsidR="00BF6543" w:rsidP="00BF6543" w:rsidRDefault="00BF6543" w14:paraId="2EF6AABD" w14:textId="77777777">
      <w:pPr>
        <w:pStyle w:val="ListBullet"/>
        <w:numPr>
          <w:ilvl w:val="0"/>
          <w:numId w:val="1"/>
        </w:numPr>
      </w:pPr>
      <w:r w:rsidRPr="00F1081A">
        <w:t xml:space="preserve">The state and federal funding </w:t>
      </w:r>
      <w:r>
        <w:t>for</w:t>
      </w:r>
      <w:r w:rsidRPr="00F1081A">
        <w:t xml:space="preserve"> transport infrastructure should be more responsive to and prioritise the infrastructure in the undergoing precinct planning in regional cities to support the delivery of </w:t>
      </w:r>
      <w:r>
        <w:t>sustainable</w:t>
      </w:r>
      <w:r w:rsidRPr="00F1081A">
        <w:t xml:space="preserve"> housing. </w:t>
      </w:r>
    </w:p>
    <w:p w:rsidRPr="003934FB" w:rsidR="00BF6543" w:rsidP="00BF6543" w:rsidRDefault="00BF6543" w14:paraId="4800F22C" w14:textId="77777777">
      <w:pPr>
        <w:pStyle w:val="Heading2"/>
        <w:rPr>
          <w:rFonts w:eastAsiaTheme="minorEastAsia"/>
        </w:rPr>
      </w:pPr>
      <w:bookmarkStart w:name="_Toc148697963" w:id="80"/>
      <w:r w:rsidRPr="003934FB">
        <w:rPr>
          <w:rFonts w:eastAsiaTheme="minorEastAsia"/>
        </w:rPr>
        <w:t>Responding to climate change</w:t>
      </w:r>
      <w:bookmarkEnd w:id="80"/>
      <w:r w:rsidRPr="003934FB">
        <w:rPr>
          <w:rFonts w:eastAsiaTheme="minorEastAsia"/>
        </w:rPr>
        <w:t xml:space="preserve"> </w:t>
      </w:r>
    </w:p>
    <w:p w:rsidRPr="00F1081A" w:rsidR="00BF6543" w:rsidP="00BF6543" w:rsidRDefault="00BF6543" w14:paraId="67574FD5" w14:textId="77777777">
      <w:pPr>
        <w:pStyle w:val="BodyText"/>
      </w:pPr>
      <w:r w:rsidRPr="00F1081A">
        <w:t>City of Greater Geelong contains established communities and growth areas subject to natural hazard and climate change risks e.g., bushfire, sea level rise and flood risks. While the current state planning framework encourages new precinct planning to undertake avoidance and mitigation approaches to deal with the risks, providing mitigation measures e.g., flood-proof drainage assets create significant infrastructure costs to new precincts</w:t>
      </w:r>
      <w:r>
        <w:t xml:space="preserve"> and urban renewal areas</w:t>
      </w:r>
      <w:r w:rsidRPr="00F1081A">
        <w:t xml:space="preserve"> as well as an economic burden to the construction of new residential communities.</w:t>
      </w:r>
    </w:p>
    <w:p w:rsidR="00BF6543" w:rsidP="00BF6543" w:rsidRDefault="00BF6543" w14:paraId="1B9E9405" w14:textId="77777777">
      <w:pPr>
        <w:pStyle w:val="BodyText"/>
      </w:pPr>
      <w:r w:rsidRPr="00F1081A">
        <w:t>The National Housing and Homelessness Plan needs to set appropriate scale for housing and integrated land use planning that includes sustainability, such as within a neighbourhood scale. It takes away the focus and discussion of sustainability issues within a regimented and codified built form and site</w:t>
      </w:r>
      <w:r>
        <w:t>-</w:t>
      </w:r>
      <w:r w:rsidRPr="00F1081A">
        <w:t xml:space="preserve">specific implementation, costs to the importance of sustainability within communities in the wider scale. </w:t>
      </w:r>
    </w:p>
    <w:p w:rsidR="00BF6543" w:rsidP="00BF6543" w:rsidRDefault="00BF6543" w14:paraId="2DA13E0A" w14:textId="77777777">
      <w:pPr>
        <w:pStyle w:val="BodyText"/>
      </w:pPr>
      <w:r w:rsidRPr="00F1081A">
        <w:t xml:space="preserve">These provide more opportunities for integration of land use planning with transport, </w:t>
      </w:r>
      <w:proofErr w:type="gramStart"/>
      <w:r w:rsidRPr="00F1081A">
        <w:t>biodiversity</w:t>
      </w:r>
      <w:proofErr w:type="gramEnd"/>
      <w:r w:rsidRPr="00F1081A">
        <w:t xml:space="preserve"> and other planning matters through housing policies with appropriate performance</w:t>
      </w:r>
      <w:r>
        <w:t>-</w:t>
      </w:r>
      <w:r w:rsidRPr="00F1081A">
        <w:t>based outcomes for sustainable neighbourhood developments that can be measured and compared. Integration with land use planning in neighbourhood scale allows for discussion for economies of scale for a decentralised system (</w:t>
      </w:r>
      <w:proofErr w:type="spellStart"/>
      <w:r w:rsidRPr="00F1081A">
        <w:t>Duhr</w:t>
      </w:r>
      <w:proofErr w:type="spellEnd"/>
      <w:r w:rsidRPr="00F1081A">
        <w:t xml:space="preserve"> et al 2023) within institutional governance that guide interactions and engagement with communities to achieve social sustainability and achieve the national policy goals such as climate targets. Social sustainability which is one of the three pillars of sustainability (economic, environmental) that is most complex.</w:t>
      </w:r>
    </w:p>
    <w:p w:rsidRPr="00F1081A" w:rsidR="00BF6543" w:rsidP="00BF6543" w:rsidRDefault="00BF6543" w14:paraId="1DD5BE48" w14:textId="77777777">
      <w:pPr>
        <w:pStyle w:val="BodyText"/>
        <w:rPr>
          <w:rFonts w:eastAsiaTheme="minorEastAsia"/>
          <w:b/>
        </w:rPr>
      </w:pPr>
      <w:r w:rsidRPr="00F1081A">
        <w:rPr>
          <w:rFonts w:eastAsiaTheme="minorEastAsia"/>
          <w:b/>
        </w:rPr>
        <w:t>Recommendations:</w:t>
      </w:r>
    </w:p>
    <w:p w:rsidRPr="00F1081A" w:rsidR="00BF6543" w:rsidP="00BF6543" w:rsidRDefault="00BF6543" w14:paraId="2BF18FEC" w14:textId="77777777">
      <w:pPr>
        <w:pStyle w:val="ListBullet"/>
        <w:numPr>
          <w:ilvl w:val="0"/>
          <w:numId w:val="1"/>
        </w:numPr>
      </w:pPr>
      <w:r w:rsidRPr="00F1081A">
        <w:t>Provide funding to new precincts for providing mitigation measures including floodplain management assets</w:t>
      </w:r>
      <w:r>
        <w:t xml:space="preserve"> and renewal of aging infrastructure in areas nominated for urban renewal</w:t>
      </w:r>
      <w:r w:rsidRPr="00F1081A">
        <w:t>.</w:t>
      </w:r>
    </w:p>
    <w:p w:rsidR="00BF6543" w:rsidP="00BF6543" w:rsidRDefault="00BF6543" w14:paraId="6D2B1A50" w14:textId="77777777">
      <w:pPr>
        <w:pStyle w:val="ListBullet"/>
        <w:numPr>
          <w:ilvl w:val="0"/>
          <w:numId w:val="1"/>
        </w:numPr>
      </w:pPr>
      <w:r w:rsidRPr="00F1081A">
        <w:t xml:space="preserve">Provide funding to the construction of new homes with innovative ESD measures and the construction of new precincts’ landscaping and stormwater management </w:t>
      </w:r>
      <w:r>
        <w:t xml:space="preserve">approach. </w:t>
      </w:r>
    </w:p>
    <w:p w:rsidRPr="00F1081A" w:rsidR="00BF6543" w:rsidP="00BF6543" w:rsidRDefault="00BF6543" w14:paraId="299D5724" w14:textId="77777777">
      <w:pPr>
        <w:pStyle w:val="Heading2"/>
        <w:rPr>
          <w:rFonts w:eastAsiaTheme="minorEastAsia"/>
        </w:rPr>
      </w:pPr>
      <w:bookmarkStart w:name="_Toc147948917" w:id="81"/>
      <w:bookmarkStart w:name="_Toc88121432" w:id="82"/>
      <w:bookmarkStart w:name="_Toc1839480280" w:id="83"/>
      <w:bookmarkStart w:name="_Toc1439095782" w:id="84"/>
      <w:bookmarkStart w:name="_Toc148697964" w:id="85"/>
      <w:r w:rsidRPr="00F1081A">
        <w:rPr>
          <w:rFonts w:eastAsiaTheme="minorEastAsia"/>
        </w:rPr>
        <w:t>Sustainability in Housing</w:t>
      </w:r>
      <w:bookmarkEnd w:id="81"/>
      <w:r>
        <w:rPr>
          <w:rFonts w:eastAsiaTheme="minorEastAsia"/>
        </w:rPr>
        <w:t xml:space="preserve"> – case studies</w:t>
      </w:r>
      <w:bookmarkEnd w:id="82"/>
      <w:bookmarkEnd w:id="83"/>
      <w:bookmarkEnd w:id="84"/>
      <w:bookmarkEnd w:id="85"/>
    </w:p>
    <w:p w:rsidRPr="00F1081A" w:rsidR="00BF6543" w:rsidP="00BF6543" w:rsidRDefault="00BF6543" w14:paraId="1424BF19" w14:textId="77777777">
      <w:pPr>
        <w:pStyle w:val="BodyText"/>
      </w:pPr>
      <w:r w:rsidRPr="00F1081A">
        <w:t xml:space="preserve">The City of Greater Geelong and twenty-four other Victorian councils, supported by the Council Alliance for a Sustainable Built Environment (CASBE) and the Municipal Association of Victoria (MAV) are seeking an amendment to the Victorian planning scheme for new buildings, to elevate sustainability requirements and increase resilience to climate change impacts. Under the proposed changes, new developments would:  </w:t>
      </w:r>
    </w:p>
    <w:p w:rsidRPr="00F1081A" w:rsidR="00BF6543" w:rsidP="00BF6543" w:rsidRDefault="00BF6543" w14:paraId="60C3CC57" w14:textId="77777777">
      <w:pPr>
        <w:pStyle w:val="ListBullet"/>
        <w:numPr>
          <w:ilvl w:val="0"/>
          <w:numId w:val="1"/>
        </w:numPr>
      </w:pPr>
      <w:r w:rsidRPr="00F1081A">
        <w:t xml:space="preserve">Produce net zero carbon emissions. </w:t>
      </w:r>
    </w:p>
    <w:p w:rsidRPr="00F1081A" w:rsidR="00BF6543" w:rsidP="00BF6543" w:rsidRDefault="00BF6543" w14:paraId="52831087" w14:textId="77777777">
      <w:pPr>
        <w:pStyle w:val="ListBullet"/>
        <w:numPr>
          <w:ilvl w:val="0"/>
          <w:numId w:val="1"/>
        </w:numPr>
      </w:pPr>
      <w:r w:rsidRPr="00F1081A">
        <w:t xml:space="preserve">Reduce household bills by making buildings more energy efficient. </w:t>
      </w:r>
    </w:p>
    <w:p w:rsidRPr="00F1081A" w:rsidR="00BF6543" w:rsidP="00BF6543" w:rsidRDefault="00BF6543" w14:paraId="091DEC9A" w14:textId="77777777">
      <w:pPr>
        <w:pStyle w:val="ListBullet"/>
        <w:numPr>
          <w:ilvl w:val="0"/>
          <w:numId w:val="1"/>
        </w:numPr>
      </w:pPr>
      <w:r w:rsidRPr="00F1081A">
        <w:t xml:space="preserve">Provide a healthier and more comfortable environment for building occupants. </w:t>
      </w:r>
    </w:p>
    <w:p w:rsidRPr="00F1081A" w:rsidR="00BF6543" w:rsidP="00BF6543" w:rsidRDefault="00BF6543" w14:paraId="5C0A9674" w14:textId="77777777">
      <w:pPr>
        <w:pStyle w:val="ListBullet"/>
        <w:numPr>
          <w:ilvl w:val="0"/>
          <w:numId w:val="1"/>
        </w:numPr>
      </w:pPr>
      <w:r w:rsidRPr="00F1081A">
        <w:t xml:space="preserve">Better manage water quality, use and collection. </w:t>
      </w:r>
    </w:p>
    <w:p w:rsidRPr="00F1081A" w:rsidR="00BF6543" w:rsidP="00BF6543" w:rsidRDefault="00BF6543" w14:paraId="1D3AB70F" w14:textId="77777777">
      <w:pPr>
        <w:pStyle w:val="ListBullet"/>
        <w:numPr>
          <w:ilvl w:val="0"/>
          <w:numId w:val="1"/>
        </w:numPr>
      </w:pPr>
      <w:r w:rsidRPr="00F1081A">
        <w:t xml:space="preserve">Protect and enhance greening and biodiversity. </w:t>
      </w:r>
    </w:p>
    <w:p w:rsidRPr="00F1081A" w:rsidR="00BF6543" w:rsidP="00BF6543" w:rsidRDefault="00BF6543" w14:paraId="708D88E6" w14:textId="77777777">
      <w:pPr>
        <w:pStyle w:val="ListBullet"/>
        <w:numPr>
          <w:ilvl w:val="0"/>
          <w:numId w:val="1"/>
        </w:numPr>
      </w:pPr>
      <w:r w:rsidRPr="00F1081A">
        <w:t xml:space="preserve">Be more resilient to changing climate impacts. </w:t>
      </w:r>
    </w:p>
    <w:p w:rsidR="00BF6543" w:rsidP="00BF6543" w:rsidRDefault="00BF6543" w14:paraId="00C9C037" w14:textId="77777777">
      <w:pPr>
        <w:pStyle w:val="BodyText"/>
      </w:pPr>
      <w:r w:rsidRPr="00F1081A">
        <w:t xml:space="preserve">The Victorian Government could expediate the amendment process to improve new sustainable housing and better prepare our Geelong community for climate change. </w:t>
      </w:r>
    </w:p>
    <w:p w:rsidRPr="00F1081A" w:rsidR="00BF6543" w:rsidP="00BF6543" w:rsidRDefault="00BF6543" w14:paraId="56DFBDBE" w14:textId="77777777">
      <w:pPr>
        <w:pStyle w:val="BodyText"/>
      </w:pPr>
      <w:r w:rsidRPr="00F1081A">
        <w:rPr>
          <w:rFonts w:eastAsiaTheme="minorEastAsia"/>
          <w:b/>
        </w:rPr>
        <w:t>Climate Safe Rooms</w:t>
      </w:r>
      <w:r w:rsidRPr="00F1081A">
        <w:t xml:space="preserve"> was a project funded by State Government and was delivered in partnership with Uniting, </w:t>
      </w:r>
      <w:r>
        <w:t>City of Greater Geelong</w:t>
      </w:r>
      <w:r w:rsidRPr="00F1081A">
        <w:t xml:space="preserve"> and Geelong Sustainability that provided up to $15,000 per participant (10 participants) to install Solar PV, split system heating and cooling and draught proofing/air sealing. The strategic direction is to minimise the need for energy consumption by making households and ambient temperature comfortable to reduce emissions and the ‘comfortability’ can also be extended to tree planting on western and northern fronted windows. These bring about multiple co-benefits, such as reduced energy consumption, reduced bill shock, reduced illness and by extension hospital/doctor visits, and pride in one’s home. </w:t>
      </w:r>
    </w:p>
    <w:p w:rsidRPr="00F1081A" w:rsidR="00BF6543" w:rsidP="00BF6543" w:rsidRDefault="00BF6543" w14:paraId="607F11F7" w14:textId="77777777">
      <w:pPr>
        <w:pStyle w:val="BodyText"/>
      </w:pPr>
      <w:r w:rsidRPr="00F1081A">
        <w:t xml:space="preserve">In terms of strategic delivery, identifying need within the home can be conducted by HAC services of </w:t>
      </w:r>
      <w:r>
        <w:t>City of Greater Geelong</w:t>
      </w:r>
      <w:r w:rsidRPr="00F1081A">
        <w:t xml:space="preserve">, documented, and passed onto the service delivery partner to conduct works. This provides direct access to individuals who are in need with people they trust. Further, we can identify additional participants through the NDIS for Geelong residents and </w:t>
      </w:r>
      <w:proofErr w:type="spellStart"/>
      <w:r w:rsidRPr="00F1081A">
        <w:t>GenU</w:t>
      </w:r>
      <w:proofErr w:type="spellEnd"/>
      <w:r w:rsidRPr="00F1081A">
        <w:t xml:space="preserve">. To reduce costs, draw on the 55-65 age bracket of skilled tradespeople and share salary costs between state and local governments, as well as NDIS and community service organisations, to conduct works and energy efficiency improvements such as insulation, draught </w:t>
      </w:r>
      <w:proofErr w:type="gramStart"/>
      <w:r w:rsidRPr="00F1081A">
        <w:t>proofing</w:t>
      </w:r>
      <w:proofErr w:type="gramEnd"/>
      <w:r w:rsidRPr="00F1081A">
        <w:t xml:space="preserve"> and air sealing.</w:t>
      </w:r>
    </w:p>
    <w:p w:rsidRPr="00F1081A" w:rsidR="00BF6543" w:rsidP="00BF6543" w:rsidRDefault="00BF6543" w14:paraId="05E12446" w14:textId="77777777">
      <w:pPr>
        <w:pStyle w:val="BodyText"/>
      </w:pPr>
      <w:r w:rsidRPr="00F1081A">
        <w:t xml:space="preserve">The opportunity should be provided for not only social and public housing, but housing for lower income and vulnerable residents who are not in social or public housing, such as supported private rentals with targeted energy proofing and climate resilient projects that improve the energy efficiency of homes. To undertake these works, a revolving fund or no interest loans are required. </w:t>
      </w:r>
    </w:p>
    <w:p w:rsidRPr="00F1081A" w:rsidR="00BF6543" w:rsidP="00BF6543" w:rsidRDefault="00BF6543" w14:paraId="7E408A38" w14:textId="77777777">
      <w:pPr>
        <w:pStyle w:val="ListBullet"/>
        <w:numPr>
          <w:ilvl w:val="0"/>
          <w:numId w:val="0"/>
        </w:numPr>
        <w:ind w:left="170"/>
      </w:pPr>
    </w:p>
    <w:p w:rsidRPr="00F1081A" w:rsidR="00F9317F" w:rsidP="00F9317F" w:rsidRDefault="00F9317F" w14:paraId="2426D814" w14:textId="77777777">
      <w:pPr>
        <w:pStyle w:val="BodyText"/>
        <w:rPr>
          <w:rFonts w:eastAsiaTheme="minorEastAsia"/>
          <w:b/>
        </w:rPr>
      </w:pPr>
      <w:r w:rsidRPr="00F1081A">
        <w:rPr>
          <w:rFonts w:eastAsiaTheme="minorEastAsia"/>
          <w:b/>
        </w:rPr>
        <w:br w:type="page"/>
      </w:r>
    </w:p>
    <w:p w:rsidRPr="00640A10" w:rsidR="00F9317F" w:rsidP="00F9317F" w:rsidRDefault="00F9317F" w14:paraId="013C3F47" w14:textId="6AF4CD71">
      <w:pPr>
        <w:pStyle w:val="Heading1"/>
        <w:framePr w:wrap="around"/>
        <w:rPr>
          <w:rFonts w:eastAsiaTheme="minorEastAsia"/>
        </w:rPr>
      </w:pPr>
      <w:bookmarkStart w:name="_Toc1023033483" w:id="86"/>
      <w:bookmarkStart w:name="_Toc743978935" w:id="87"/>
      <w:bookmarkStart w:name="_Toc187945454" w:id="88"/>
      <w:bookmarkStart w:name="_Toc148697969" w:id="89"/>
      <w:r w:rsidRPr="00640A10">
        <w:rPr>
          <w:rFonts w:eastAsiaTheme="minorEastAsia"/>
        </w:rPr>
        <w:t>References</w:t>
      </w:r>
      <w:bookmarkEnd w:id="86"/>
      <w:bookmarkEnd w:id="87"/>
      <w:bookmarkEnd w:id="88"/>
      <w:bookmarkEnd w:id="89"/>
    </w:p>
    <w:p w:rsidR="33E0EEFB" w:rsidP="181883BF" w:rsidRDefault="33E0EEFB" w14:paraId="5060DD22" w14:textId="7B533016">
      <w:pPr>
        <w:pStyle w:val="BodyText"/>
      </w:pPr>
      <w:r>
        <w:t xml:space="preserve">Australian Government (2015) </w:t>
      </w:r>
      <w:proofErr w:type="spellStart"/>
      <w:proofErr w:type="gramStart"/>
      <w:r>
        <w:t>Re:think</w:t>
      </w:r>
      <w:proofErr w:type="spellEnd"/>
      <w:proofErr w:type="gramEnd"/>
      <w:r>
        <w:t xml:space="preserve">: tax discussion paper, The Treasury, Accessed 15 August 2017, </w:t>
      </w:r>
      <w:hyperlink r:id="rId20">
        <w:r w:rsidRPr="23529F06">
          <w:rPr>
            <w:rStyle w:val="Hyperlink"/>
          </w:rPr>
          <w:t>http://apo.org.au/node/53883</w:t>
        </w:r>
      </w:hyperlink>
      <w:r>
        <w:t>.</w:t>
      </w:r>
    </w:p>
    <w:p w:rsidR="3CAB2296" w:rsidP="23529F06" w:rsidRDefault="3CAB2296" w14:paraId="0D368D86" w14:textId="0C328A72">
      <w:pPr>
        <w:pStyle w:val="BodyText"/>
      </w:pPr>
      <w:r>
        <w:t xml:space="preserve">ABS </w:t>
      </w:r>
      <w:r w:rsidR="4B19B060">
        <w:t>(</w:t>
      </w:r>
      <w:r>
        <w:t>2021</w:t>
      </w:r>
      <w:r w:rsidR="510E4FD3">
        <w:t>)</w:t>
      </w:r>
      <w:r>
        <w:t xml:space="preserve"> Australian Bureau of Statistics 2021</w:t>
      </w:r>
      <w:r w:rsidR="440A1B61">
        <w:t xml:space="preserve"> - </w:t>
      </w:r>
      <w:r>
        <w:t>Operatio</w:t>
      </w:r>
      <w:r w:rsidR="2CC29CD6">
        <w:t xml:space="preserve">nal Homelessness </w:t>
      </w:r>
      <w:proofErr w:type="gramStart"/>
      <w:r w:rsidR="2CC29CD6">
        <w:t xml:space="preserve">Data </w:t>
      </w:r>
      <w:r w:rsidR="36EB15DC">
        <w:t xml:space="preserve"> &amp;</w:t>
      </w:r>
      <w:proofErr w:type="gramEnd"/>
      <w:r w:rsidR="36EB15DC">
        <w:t xml:space="preserve"> Counting dwellings, place of enumeration </w:t>
      </w:r>
      <w:r w:rsidR="646B37A6">
        <w:t>(</w:t>
      </w:r>
      <w:r w:rsidR="36EB15DC">
        <w:t>HIND Total Household Income (weekly) by SA4 (EN)</w:t>
      </w:r>
      <w:r w:rsidR="4F3A3F55">
        <w:t>)</w:t>
      </w:r>
    </w:p>
    <w:p w:rsidRPr="00F1081A" w:rsidR="00F9317F" w:rsidP="00F9317F" w:rsidRDefault="00F9317F" w14:paraId="7F542942" w14:textId="177B2D95">
      <w:pPr>
        <w:pStyle w:val="BodyText"/>
      </w:pPr>
      <w:r w:rsidRPr="00F1081A">
        <w:t>Burke, T., Stone, W., and Ralston, L. (2014) </w:t>
      </w:r>
      <w:r w:rsidRPr="00F1081A">
        <w:rPr>
          <w:i/>
        </w:rPr>
        <w:t>Generational change in home purchase opportunity in Australia</w:t>
      </w:r>
      <w:r w:rsidRPr="00F1081A">
        <w:t xml:space="preserve">, AHURI Final Report No. 232, Australian Housing and Urban Research Institute Limited, Melbourne, </w:t>
      </w:r>
      <w:hyperlink r:id="rId21">
        <w:r w:rsidRPr="181883BF" w:rsidR="6F9B0F62">
          <w:rPr>
            <w:rStyle w:val="Hyperlink"/>
            <w:rFonts w:eastAsiaTheme="minorEastAsia"/>
          </w:rPr>
          <w:t>https://www.ahuri.edu.au/research/final-reports/232</w:t>
        </w:r>
      </w:hyperlink>
      <w:r w:rsidR="6F9B0F62">
        <w:t>.</w:t>
      </w:r>
    </w:p>
    <w:p w:rsidRPr="00F1081A" w:rsidR="00F9317F" w:rsidP="00F9317F" w:rsidRDefault="00F9317F" w14:paraId="5ABFB818" w14:textId="77777777">
      <w:pPr>
        <w:pStyle w:val="BodyText"/>
        <w:rPr>
          <w:rFonts w:eastAsiaTheme="minorEastAsia"/>
          <w:u w:val="single"/>
        </w:rPr>
      </w:pPr>
      <w:proofErr w:type="spellStart"/>
      <w:r w:rsidRPr="00F1081A">
        <w:t>CoGG</w:t>
      </w:r>
      <w:proofErr w:type="spellEnd"/>
      <w:r w:rsidRPr="00F1081A">
        <w:t xml:space="preserve"> (2021), City of Greater Geelong, Social Housing Plan 2021-2041, </w:t>
      </w:r>
      <w:hyperlink w:history="1" r:id="rId22">
        <w:r w:rsidRPr="00F1081A">
          <w:rPr>
            <w:rFonts w:eastAsiaTheme="minorEastAsia"/>
            <w:u w:val="single"/>
          </w:rPr>
          <w:t>https://www.geelongaustralia.com.au/common/public/documents/8d7b9e5836a6cf2-socialhousingplan2020-2041.PDF</w:t>
        </w:r>
      </w:hyperlink>
    </w:p>
    <w:p w:rsidRPr="00EC2277" w:rsidR="00EC2277" w:rsidP="00F9317F" w:rsidRDefault="00EC2277" w14:paraId="7CDA58F1" w14:textId="2409EC89">
      <w:pPr>
        <w:pStyle w:val="BodyText"/>
      </w:pPr>
      <w:r w:rsidRPr="00F1081A">
        <w:t xml:space="preserve">Eccleston, R., </w:t>
      </w:r>
      <w:proofErr w:type="spellStart"/>
      <w:r w:rsidRPr="00F1081A">
        <w:t>Verdouw</w:t>
      </w:r>
      <w:proofErr w:type="spellEnd"/>
      <w:r w:rsidRPr="00F1081A">
        <w:t xml:space="preserve">, J., Flanagan, K., Warren, N., Duncan, A., Ong, R., Whelan, S. and </w:t>
      </w:r>
      <w:proofErr w:type="spellStart"/>
      <w:r w:rsidRPr="00F1081A">
        <w:t>Atalay</w:t>
      </w:r>
      <w:proofErr w:type="spellEnd"/>
      <w:r w:rsidRPr="00F1081A">
        <w:t xml:space="preserve">, K. (2018) Pathways to housing tax reform, AHURI Final Report No. 301, Australian Housing and Urban Research Institute Limited, Melbourne, http://www.ahuri.edu.au/research/final-reports/301, </w:t>
      </w:r>
      <w:proofErr w:type="spellStart"/>
      <w:r w:rsidRPr="00F1081A">
        <w:t>doi</w:t>
      </w:r>
      <w:proofErr w:type="spellEnd"/>
      <w:r w:rsidRPr="00F1081A">
        <w:t>: 10.18408/ahuri-4111001.</w:t>
      </w:r>
    </w:p>
    <w:p w:rsidRPr="00F1081A" w:rsidR="00F9317F" w:rsidP="00F9317F" w:rsidRDefault="00F9317F" w14:paraId="0806647D" w14:textId="77777777">
      <w:pPr>
        <w:pStyle w:val="BodyText"/>
      </w:pPr>
      <w:r w:rsidRPr="00F1081A">
        <w:t xml:space="preserve">REIV, </w:t>
      </w:r>
      <w:proofErr w:type="spellStart"/>
      <w:r w:rsidRPr="00F1081A">
        <w:t>CoGG</w:t>
      </w:r>
      <w:proofErr w:type="spellEnd"/>
      <w:r w:rsidRPr="00F1081A">
        <w:t xml:space="preserve"> (2023), City of Greater Geelong, Stats Centre-Median House Price, source: Real Estate Institute of Victoria REIV </w:t>
      </w:r>
      <w:hyperlink w:history="1" r:id="rId23">
        <w:r w:rsidRPr="00F1081A">
          <w:rPr>
            <w:rFonts w:eastAsiaTheme="minorEastAsia"/>
            <w:u w:val="single"/>
          </w:rPr>
          <w:t>https://www.geelongaustralia.com.au/business/statistics/article/item/8d01ebfdb936404.aspx</w:t>
        </w:r>
      </w:hyperlink>
    </w:p>
    <w:p w:rsidR="00F9317F" w:rsidP="2A3C5B2F" w:rsidRDefault="00F9317F" w14:paraId="0E7C8B93" w14:textId="60E00A47">
      <w:pPr>
        <w:pStyle w:val="BodyText"/>
      </w:pPr>
      <w:proofErr w:type="spellStart"/>
      <w:r>
        <w:t>Dühr</w:t>
      </w:r>
      <w:proofErr w:type="spellEnd"/>
      <w:r>
        <w:t xml:space="preserve">, S., Berry, S. and Moore, T. (2023) Sustainable housing at a neighbourhood scale, AHURI Final Report No. 396, Australian Housing and Urban Research Institute Limited, Melbourne, https://www.ahuri.edu.au/research/final-reports/396, </w:t>
      </w:r>
      <w:proofErr w:type="spellStart"/>
      <w:r>
        <w:t>doi</w:t>
      </w:r>
      <w:proofErr w:type="spellEnd"/>
      <w:r>
        <w:t>: 10.18408/ahuri3228101.</w:t>
      </w:r>
    </w:p>
    <w:p w:rsidR="00EC2277" w:rsidP="00EC2277" w:rsidRDefault="00EC2277" w14:paraId="66A4B809" w14:textId="77777777">
      <w:pPr>
        <w:pStyle w:val="BodyText"/>
      </w:pPr>
      <w:r>
        <w:t>Daley, J., Coates, B. and Wiltshire, T. (2018) Housing affordability: rebuilding the Australian dream, Grattan Institute, Carlton, Vic.</w:t>
      </w:r>
    </w:p>
    <w:p w:rsidR="00EC2277" w:rsidP="00EC2277" w:rsidRDefault="00EC2277" w14:paraId="58350D35" w14:textId="77777777">
      <w:pPr>
        <w:pStyle w:val="BodyText"/>
      </w:pPr>
      <w:r>
        <w:t xml:space="preserve">Daley, J. and Coates, B. (2015) Property taxes, Grattan Institute Working Paper No. 2015-5, Grattan Institute, Carlton, Vic., accessed 15 August, 2017, </w:t>
      </w:r>
      <w:hyperlink r:id="rId24">
        <w:r w:rsidRPr="181883BF">
          <w:rPr>
            <w:rStyle w:val="Hyperlink"/>
          </w:rPr>
          <w:t>https://grattan.edu.au/wp-content/uploads/2015/07/826-Property-Taxes.pdf</w:t>
        </w:r>
      </w:hyperlink>
      <w:r>
        <w:t>.</w:t>
      </w:r>
    </w:p>
    <w:p w:rsidR="00EC2277" w:rsidP="2A3C5B2F" w:rsidRDefault="00EC2277" w14:paraId="7E38DDDF" w14:textId="67FAA747">
      <w:pPr>
        <w:pStyle w:val="BodyText"/>
      </w:pPr>
      <w:r w:rsidRPr="00F1081A">
        <w:t>Disney, J. (2006) ‘Over our heads: housing costs and Australian families’, Australian Quarterly, vol. 78, no. 2: 4–11.</w:t>
      </w:r>
    </w:p>
    <w:p w:rsidR="50EC7C57" w:rsidP="181883BF" w:rsidRDefault="50EC7C57" w14:paraId="66E89ACE" w14:textId="2D1DF339">
      <w:pPr>
        <w:pStyle w:val="BodyText"/>
      </w:pPr>
      <w:r>
        <w:t xml:space="preserve">Henry, K., Harmer, J., </w:t>
      </w:r>
      <w:proofErr w:type="spellStart"/>
      <w:r>
        <w:t>Piggot</w:t>
      </w:r>
      <w:proofErr w:type="spellEnd"/>
      <w:r>
        <w:t xml:space="preserve">, J., </w:t>
      </w:r>
      <w:proofErr w:type="spellStart"/>
      <w:r>
        <w:t>Ridout</w:t>
      </w:r>
      <w:proofErr w:type="spellEnd"/>
      <w:r>
        <w:t>, H. and Smith, G. (2009) Australia’s future tax system: report to the Treasurer, Commonwealth of Australia, Canberra.</w:t>
      </w:r>
    </w:p>
    <w:p w:rsidRPr="00F1081A" w:rsidR="00EC2277" w:rsidP="00EC2277" w:rsidRDefault="00EC2277" w14:paraId="65AAC7FE" w14:textId="77777777">
      <w:pPr>
        <w:pStyle w:val="BodyText"/>
      </w:pPr>
      <w:r w:rsidRPr="00F1081A">
        <w:t xml:space="preserve">.id (2023) .id Community, Housing Monitor, City of Greater Geelong, </w:t>
      </w:r>
      <w:hyperlink w:history="1" r:id="rId25">
        <w:r w:rsidRPr="00F1081A">
          <w:rPr>
            <w:rFonts w:eastAsiaTheme="minorEastAsia"/>
            <w:u w:val="single"/>
          </w:rPr>
          <w:t>https://housing.id.com.au/geelong</w:t>
        </w:r>
      </w:hyperlink>
    </w:p>
    <w:p w:rsidRPr="00F1081A" w:rsidR="00EC2277" w:rsidP="00EC2277" w:rsidRDefault="00EC2277" w14:paraId="63C7552E" w14:textId="77777777">
      <w:pPr>
        <w:pStyle w:val="BodyText"/>
      </w:pPr>
      <w:r w:rsidRPr="00F1081A">
        <w:t xml:space="preserve">.id (2023) .id Community, Population Forecast, City of Greater Geelong, </w:t>
      </w:r>
      <w:hyperlink r:id="rId26">
        <w:r w:rsidRPr="0F53A7A9">
          <w:rPr>
            <w:rFonts w:eastAsiaTheme="minorEastAsia"/>
            <w:u w:val="single"/>
          </w:rPr>
          <w:t>https://forecast.id.com.au/geelong</w:t>
        </w:r>
      </w:hyperlink>
    </w:p>
    <w:p w:rsidR="00EC2277" w:rsidP="00EC2277" w:rsidRDefault="00EC2277" w14:paraId="711BB3DA" w14:textId="77777777">
      <w:pPr>
        <w:pStyle w:val="BodyText"/>
        <w:rPr>
          <w:rFonts w:eastAsiaTheme="minorEastAsia"/>
        </w:rPr>
      </w:pPr>
      <w:r w:rsidRPr="181883BF">
        <w:rPr>
          <w:rFonts w:eastAsiaTheme="minorEastAsia"/>
        </w:rPr>
        <w:t xml:space="preserve">SMEC (2023), Victorian Construction Costs 2018 - 2023, </w:t>
      </w:r>
      <w:hyperlink r:id="rId27">
        <w:r w:rsidRPr="181883BF">
          <w:rPr>
            <w:rStyle w:val="Hyperlink"/>
            <w:rFonts w:eastAsiaTheme="minorEastAsia"/>
          </w:rPr>
          <w:t>https://www.smec.com/om/insights/victorian-construction-costs/</w:t>
        </w:r>
      </w:hyperlink>
    </w:p>
    <w:p w:rsidR="00EC2277" w:rsidP="00EC2277" w:rsidRDefault="00EC2277" w14:paraId="4ECFB2D9" w14:textId="77777777">
      <w:pPr>
        <w:pStyle w:val="BodyText"/>
        <w:rPr>
          <w:rFonts w:eastAsiaTheme="minorEastAsia"/>
        </w:rPr>
      </w:pPr>
      <w:r w:rsidRPr="181883BF">
        <w:rPr>
          <w:rFonts w:eastAsiaTheme="minorEastAsia"/>
        </w:rPr>
        <w:t xml:space="preserve">Infrastructure </w:t>
      </w:r>
      <w:proofErr w:type="spellStart"/>
      <w:r w:rsidRPr="181883BF">
        <w:rPr>
          <w:rFonts w:eastAsiaTheme="minorEastAsia"/>
        </w:rPr>
        <w:t>VIctoria</w:t>
      </w:r>
      <w:proofErr w:type="spellEnd"/>
      <w:r w:rsidRPr="181883BF">
        <w:rPr>
          <w:rFonts w:eastAsiaTheme="minorEastAsia"/>
        </w:rPr>
        <w:t xml:space="preserve"> 2023, Policy evidence for more housing options in Victoria </w:t>
      </w:r>
      <w:hyperlink r:id="rId28">
        <w:r w:rsidRPr="181883BF">
          <w:rPr>
            <w:rStyle w:val="Hyperlink"/>
            <w:rFonts w:eastAsiaTheme="minorEastAsia"/>
          </w:rPr>
          <w:t>https://www.infrastructurevictoria.com.au/wp-content/uploads/2023/03/Policy-evidence-for-more-housing-options-in-Victoria.pdf</w:t>
        </w:r>
      </w:hyperlink>
    </w:p>
    <w:p w:rsidR="34B8E36B" w:rsidP="2A3C5B2F" w:rsidRDefault="34B8E36B" w14:paraId="39300637" w14:textId="5884C171">
      <w:pPr>
        <w:rPr>
          <w:rStyle w:val="Hyperlink"/>
          <w:rFonts w:ascii="Arial" w:hAnsi="Arial" w:eastAsia="Arial" w:cs="Arial"/>
          <w:color w:val="0563C1"/>
          <w:sz w:val="20"/>
          <w:szCs w:val="20"/>
        </w:rPr>
      </w:pPr>
      <w:r w:rsidRPr="2A3C5B2F">
        <w:rPr>
          <w:rFonts w:ascii="Arial" w:hAnsi="Arial" w:eastAsia="Arial" w:cs="Arial"/>
          <w:sz w:val="20"/>
          <w:szCs w:val="20"/>
        </w:rPr>
        <w:t xml:space="preserve">Productivity Commission (2022), In need of repair: The National Housing and Homelessness Agreement </w:t>
      </w:r>
      <w:hyperlink r:id="rId29">
        <w:r w:rsidRPr="2A3C5B2F" w:rsidR="182807D5">
          <w:rPr>
            <w:rStyle w:val="Hyperlink"/>
            <w:rFonts w:ascii="Arial" w:hAnsi="Arial" w:eastAsia="Arial" w:cs="Arial"/>
            <w:color w:val="0563C1"/>
            <w:sz w:val="20"/>
            <w:szCs w:val="20"/>
          </w:rPr>
          <w:t>https://www.pc.gov.au/inquiries/completed/housing-homelessness/report/housing-homelessness-overview.pdf</w:t>
        </w:r>
      </w:hyperlink>
    </w:p>
    <w:p w:rsidR="2A3C5B2F" w:rsidP="2A3C5B2F" w:rsidRDefault="2A3C5B2F" w14:paraId="626EEDF9" w14:textId="77777777">
      <w:pPr>
        <w:rPr>
          <w:rStyle w:val="Hyperlink"/>
          <w:rFonts w:ascii="Arial" w:hAnsi="Arial" w:eastAsia="Arial" w:cs="Arial"/>
          <w:color w:val="0563C1"/>
          <w:sz w:val="20"/>
          <w:szCs w:val="20"/>
        </w:rPr>
      </w:pPr>
    </w:p>
    <w:p w:rsidR="009D58E3" w:rsidP="2A3C5B2F" w:rsidRDefault="009D58E3" w14:paraId="526691D0" w14:textId="5169C9C8">
      <w:r>
        <w:t>Productivity Commission 2014, Public infrastructure, 2014, accessed 14 February 2023, p.169.</w:t>
      </w:r>
      <w:r w:rsidR="008A04A8">
        <w:t xml:space="preserve"> </w:t>
      </w:r>
      <w:hyperlink w:history="1" r:id="rId30">
        <w:r w:rsidRPr="003360B4" w:rsidR="008A04A8">
          <w:rPr>
            <w:rStyle w:val="Hyperlink"/>
          </w:rPr>
          <w:t>https://www.pc.gov.au/inquiries/completed/infrastructure/report</w:t>
        </w:r>
      </w:hyperlink>
    </w:p>
    <w:p w:rsidR="008A04A8" w:rsidP="2A3C5B2F" w:rsidRDefault="008A04A8" w14:paraId="07833FD4" w14:textId="77777777">
      <w:pPr>
        <w:rPr>
          <w:rStyle w:val="Hyperlink"/>
          <w:rFonts w:ascii="Arial" w:hAnsi="Arial" w:eastAsia="Arial" w:cs="Arial"/>
          <w:color w:val="0563C1"/>
          <w:sz w:val="20"/>
          <w:szCs w:val="20"/>
        </w:rPr>
      </w:pPr>
    </w:p>
    <w:p w:rsidR="2A3C5B2F" w:rsidP="6E0CEE57" w:rsidRDefault="55AEEF87" w14:paraId="2DB588A3" w14:textId="023DE495">
      <w:pPr>
        <w:rPr>
          <w:rFonts w:ascii="Arial" w:hAnsi="Arial" w:eastAsia="Arial" w:cs="Arial"/>
          <w:sz w:val="20"/>
          <w:szCs w:val="20"/>
        </w:rPr>
      </w:pPr>
      <w:r w:rsidRPr="6E0CEE57">
        <w:rPr>
          <w:rFonts w:ascii="Arial" w:hAnsi="Arial" w:eastAsia="Arial" w:cs="Arial"/>
          <w:sz w:val="20"/>
          <w:szCs w:val="20"/>
        </w:rPr>
        <w:t>Royal Bank of Australia RBA, 202</w:t>
      </w:r>
      <w:r w:rsidRPr="6E0CEE57" w:rsidR="4A63253F">
        <w:rPr>
          <w:rFonts w:ascii="Arial" w:hAnsi="Arial" w:eastAsia="Arial" w:cs="Arial"/>
          <w:sz w:val="20"/>
          <w:szCs w:val="20"/>
        </w:rPr>
        <w:t>3</w:t>
      </w:r>
      <w:r w:rsidRPr="6E0CEE57">
        <w:rPr>
          <w:rFonts w:ascii="Arial" w:hAnsi="Arial" w:eastAsia="Arial" w:cs="Arial"/>
          <w:sz w:val="20"/>
          <w:szCs w:val="20"/>
        </w:rPr>
        <w:t xml:space="preserve">, Cash rate target </w:t>
      </w:r>
    </w:p>
    <w:p w:rsidR="2A3C5B2F" w:rsidP="2A3C5B2F" w:rsidRDefault="003E4D18" w14:paraId="16B79B25" w14:textId="3C7987B7">
      <w:pPr>
        <w:rPr>
          <w:rStyle w:val="Hyperlink"/>
          <w:rFonts w:ascii="Arial" w:hAnsi="Arial" w:eastAsia="Arial" w:cs="Arial"/>
          <w:sz w:val="20"/>
          <w:szCs w:val="20"/>
        </w:rPr>
      </w:pPr>
      <w:hyperlink r:id="rId31">
        <w:r w:rsidRPr="6E0CEE57" w:rsidR="55AEEF87">
          <w:rPr>
            <w:rStyle w:val="Hyperlink"/>
            <w:rFonts w:ascii="Arial" w:hAnsi="Arial" w:eastAsia="Arial" w:cs="Arial"/>
            <w:sz w:val="20"/>
            <w:szCs w:val="20"/>
          </w:rPr>
          <w:t>https://www.rba.gov.au/cash-rate-target-overview.html</w:t>
        </w:r>
      </w:hyperlink>
    </w:p>
    <w:p w:rsidR="2A3C5B2F" w:rsidP="2A3C5B2F" w:rsidRDefault="2A3C5B2F" w14:paraId="66805BBF" w14:textId="18094415">
      <w:pPr>
        <w:rPr>
          <w:rFonts w:ascii="Arial" w:hAnsi="Arial" w:eastAsia="Arial" w:cs="Arial"/>
          <w:sz w:val="20"/>
          <w:szCs w:val="20"/>
        </w:rPr>
      </w:pPr>
    </w:p>
    <w:p w:rsidR="1B233DF7" w:rsidP="2A3C5B2F" w:rsidRDefault="1B233DF7" w14:paraId="29BC6E9F" w14:textId="7E381BE3">
      <w:pPr>
        <w:rPr>
          <w:rFonts w:ascii="Arial" w:hAnsi="Arial" w:eastAsia="Arial" w:cs="Arial"/>
          <w:sz w:val="20"/>
          <w:szCs w:val="20"/>
        </w:rPr>
      </w:pPr>
      <w:r w:rsidRPr="2A3C5B2F">
        <w:rPr>
          <w:rFonts w:ascii="Arial" w:hAnsi="Arial" w:eastAsia="Arial" w:cs="Arial"/>
          <w:sz w:val="20"/>
          <w:szCs w:val="20"/>
        </w:rPr>
        <w:t>Kearns J 2022, Royal Bank of Australia</w:t>
      </w:r>
      <w:r w:rsidRPr="2A3C5B2F" w:rsidR="70EC5264">
        <w:rPr>
          <w:rFonts w:ascii="Arial" w:hAnsi="Arial" w:eastAsia="Arial" w:cs="Arial"/>
          <w:sz w:val="20"/>
          <w:szCs w:val="20"/>
        </w:rPr>
        <w:t xml:space="preserve"> RBA</w:t>
      </w:r>
      <w:r w:rsidRPr="2A3C5B2F">
        <w:rPr>
          <w:rFonts w:ascii="Arial" w:hAnsi="Arial" w:eastAsia="Arial" w:cs="Arial"/>
          <w:sz w:val="20"/>
          <w:szCs w:val="20"/>
        </w:rPr>
        <w:t>, 2022, Interest Rates and the Property Market</w:t>
      </w:r>
    </w:p>
    <w:p w:rsidR="182807D5" w:rsidP="6E0CEE57" w:rsidRDefault="003E4D18" w14:paraId="1C0F232C" w14:textId="70ADA7F8">
      <w:pPr>
        <w:rPr>
          <w:rStyle w:val="Hyperlink"/>
          <w:rFonts w:ascii="Arial" w:hAnsi="Arial" w:eastAsia="Arial" w:cs="Arial"/>
          <w:sz w:val="20"/>
          <w:szCs w:val="20"/>
        </w:rPr>
      </w:pPr>
      <w:hyperlink r:id="rId32">
        <w:r w:rsidRPr="2A3C5B2F" w:rsidR="1B233DF7">
          <w:rPr>
            <w:rStyle w:val="Hyperlink"/>
            <w:rFonts w:ascii="Arial" w:hAnsi="Arial" w:eastAsia="Arial" w:cs="Arial"/>
            <w:sz w:val="20"/>
            <w:szCs w:val="20"/>
          </w:rPr>
          <w:t>https://www.rba.gov.au/speeches/2022/sp-so-2022-09-19.html</w:t>
        </w:r>
      </w:hyperlink>
    </w:p>
    <w:p w:rsidRPr="00F1081A" w:rsidR="00EC2277" w:rsidP="00EC2277" w:rsidRDefault="00EC2277" w14:paraId="287CDBFB" w14:textId="77777777">
      <w:pPr>
        <w:pStyle w:val="BodyText"/>
      </w:pPr>
      <w:r w:rsidRPr="00F1081A">
        <w:t xml:space="preserve">Lawson, J., Pawson, H., Troy, L., van den </w:t>
      </w:r>
      <w:proofErr w:type="spellStart"/>
      <w:r w:rsidRPr="00F1081A">
        <w:t>Nouwelant</w:t>
      </w:r>
      <w:proofErr w:type="spellEnd"/>
      <w:r w:rsidRPr="00F1081A">
        <w:t>, R. and Hamilton, C. (2018) Social housing as infrastructure: an investment pathway, AHURI Final Report 306, Australian Housing and Urban Research Institute Limited, Melbourne, http://www.ahuri.edu.au/research/final-reports/306, doi:10.18408/ahuri-5314301.</w:t>
      </w:r>
    </w:p>
    <w:p w:rsidRPr="00EC2277" w:rsidR="00EC2277" w:rsidP="00EC2277" w:rsidRDefault="00EC2277" w14:paraId="4EAB9B97" w14:textId="143E7774">
      <w:pPr>
        <w:pStyle w:val="BodyText"/>
      </w:pPr>
      <w:r w:rsidRPr="00F1081A">
        <w:t>NHSC (2010), National Housing Supply Council, Second State of Supply report, Department of Families, Housing, Community Services and Indigenous Affairs, Canberra.</w:t>
      </w:r>
    </w:p>
    <w:p w:rsidRPr="00F1081A" w:rsidR="00F9317F" w:rsidP="00F9317F" w:rsidRDefault="00F9317F" w14:paraId="2C3CABFD" w14:textId="77777777">
      <w:pPr>
        <w:pStyle w:val="BodyText"/>
      </w:pPr>
      <w:r w:rsidRPr="00F1081A">
        <w:t xml:space="preserve">Ong, R., Dalton, T., </w:t>
      </w:r>
      <w:proofErr w:type="spellStart"/>
      <w:r w:rsidRPr="00F1081A">
        <w:t>Gurran</w:t>
      </w:r>
      <w:proofErr w:type="spellEnd"/>
      <w:r w:rsidRPr="00F1081A">
        <w:t xml:space="preserve">, N., Phelps, C., Rowley, S. and Wood, G. (2017) </w:t>
      </w:r>
      <w:r w:rsidRPr="00F1081A">
        <w:rPr>
          <w:i/>
        </w:rPr>
        <w:t xml:space="preserve">Housing supply responsiveness in Australia: distribution, </w:t>
      </w:r>
      <w:proofErr w:type="gramStart"/>
      <w:r w:rsidRPr="00F1081A">
        <w:rPr>
          <w:i/>
        </w:rPr>
        <w:t>drivers</w:t>
      </w:r>
      <w:proofErr w:type="gramEnd"/>
      <w:r w:rsidRPr="00F1081A">
        <w:rPr>
          <w:i/>
        </w:rPr>
        <w:t xml:space="preserve"> and institutional settings</w:t>
      </w:r>
      <w:r w:rsidRPr="00F1081A">
        <w:t>, AHURI Final Report No. 281, Australian Housing and Urban Research Institute Limited, Melbourne, http://www.ahuri.edu.au/research/final-reports/281, doi:10.18408/ahuri-8107301.</w:t>
      </w:r>
    </w:p>
    <w:p w:rsidRPr="00F1081A" w:rsidR="00F9317F" w:rsidP="00F9317F" w:rsidRDefault="00F9317F" w14:paraId="2E9ED6E9" w14:textId="77777777">
      <w:pPr>
        <w:pStyle w:val="BodyText"/>
      </w:pPr>
      <w:r w:rsidRPr="00F1081A">
        <w:t xml:space="preserve">Ong, R., Wood, G., Whelan, S., </w:t>
      </w:r>
      <w:proofErr w:type="spellStart"/>
      <w:r w:rsidRPr="00F1081A">
        <w:t>Cigdem</w:t>
      </w:r>
      <w:proofErr w:type="spellEnd"/>
      <w:r w:rsidRPr="00F1081A">
        <w:t xml:space="preserve">, M., </w:t>
      </w:r>
      <w:proofErr w:type="spellStart"/>
      <w:r w:rsidRPr="00F1081A">
        <w:t>Atalay</w:t>
      </w:r>
      <w:proofErr w:type="spellEnd"/>
      <w:r w:rsidRPr="00F1081A">
        <w:t>, K. and Dodson, J. (2017) Inquiry into housing policies, labour force participation and economic growth, AHURI Final Report No. 285, Australian Housing and Urban Research Institute, Melbourne, https://www.ahuri.edu.au/research/final-reports/285, doi:10.18408/ahuri-8107001.</w:t>
      </w:r>
    </w:p>
    <w:p w:rsidRPr="00F1081A" w:rsidR="00F9317F" w:rsidP="00F9317F" w:rsidRDefault="00F9317F" w14:paraId="1EA785DC" w14:textId="77777777">
      <w:pPr>
        <w:pStyle w:val="BodyText"/>
      </w:pPr>
      <w:r w:rsidRPr="00F1081A">
        <w:t>Wood, G., Ong, R. and McMurray, C. (2011) The impacts of the Henry Review recommendations on the private rental market—savings income discount and rent assistance, AHURI Final Report No. 175, Australian Housing and Urban Research Institute, Melbourne, https://www.ahuri.edu.au/research/final-reports/175.</w:t>
      </w:r>
    </w:p>
    <w:p w:rsidRPr="00F1081A" w:rsidR="00F9317F" w:rsidP="00F9317F" w:rsidRDefault="00F9317F" w14:paraId="645B9589" w14:textId="77777777">
      <w:pPr>
        <w:pStyle w:val="BodyText"/>
      </w:pPr>
      <w:r w:rsidRPr="00F1081A">
        <w:t>Winter and Wood, G., I. (2012) ‘Scrapping stamp duties for a land tax’, Insight, no. 6: 24–26.</w:t>
      </w:r>
    </w:p>
    <w:p w:rsidRPr="00F1081A" w:rsidR="00F9317F" w:rsidP="00F9317F" w:rsidRDefault="00F9317F" w14:paraId="28849498" w14:textId="77777777">
      <w:pPr>
        <w:pStyle w:val="BodyText"/>
      </w:pPr>
      <w:r w:rsidRPr="00F1081A">
        <w:t xml:space="preserve">Wood, G., Ong, R. and </w:t>
      </w:r>
      <w:proofErr w:type="spellStart"/>
      <w:r w:rsidRPr="00F1081A">
        <w:t>Cigdem</w:t>
      </w:r>
      <w:proofErr w:type="spellEnd"/>
      <w:r w:rsidRPr="00F1081A">
        <w:t xml:space="preserve">, M. (2014) Housing affordability dynamics: new insights from the last decade, AHURI Final Report No. 233, Australian Housing and Urban Research Institute, Melbourne, accessed 15 August 2017, </w:t>
      </w:r>
      <w:hyperlink w:history="1" r:id="rId33">
        <w:r w:rsidRPr="00F1081A">
          <w:rPr>
            <w:rFonts w:eastAsiaTheme="minorEastAsia"/>
            <w:u w:val="single"/>
          </w:rPr>
          <w:t>https://www.ahuri.edu.au/research/final-reports/233</w:t>
        </w:r>
      </w:hyperlink>
      <w:r w:rsidRPr="00F1081A">
        <w:t>.</w:t>
      </w:r>
    </w:p>
    <w:p w:rsidRPr="00F1081A" w:rsidR="00F9317F" w:rsidP="00F9317F" w:rsidRDefault="00F9317F" w14:paraId="34ECD950" w14:textId="77777777">
      <w:pPr>
        <w:pStyle w:val="BodyText"/>
      </w:pPr>
      <w:r w:rsidRPr="00F1081A">
        <w:t>Worthington, A.C. (2012) ‘The quarter-century record on housing affordability, affordability drivers, and government policy responses in Australia’, International Journal of Housing Markets and Analysis, vol. 5, no. 3: 235–52.</w:t>
      </w:r>
    </w:p>
    <w:p w:rsidRPr="00F1081A" w:rsidR="00F9317F" w:rsidP="00F9317F" w:rsidRDefault="00F9317F" w14:paraId="7D59A814" w14:textId="77777777">
      <w:pPr>
        <w:pStyle w:val="BodyText"/>
      </w:pPr>
      <w:r w:rsidRPr="00F1081A">
        <w:t xml:space="preserve">Yates, J. (2008) ‘Australia's housing affordability crisis’, Australian Economic Review, vol. 41, no. 2: 200–214. </w:t>
      </w:r>
    </w:p>
    <w:p w:rsidRPr="00F1081A" w:rsidR="00F9317F" w:rsidP="00F9317F" w:rsidRDefault="00F9317F" w14:paraId="7391F52F" w14:textId="77777777">
      <w:pPr>
        <w:pStyle w:val="BodyText"/>
      </w:pPr>
      <w:r w:rsidRPr="00F1081A">
        <w:t>Yates, J. (2011) ‘Housing in Australia in the 2000s: on the agenda too late?’, in H. Gerard and J. Kearns (eds), The Australian Economy in the 2000s: Proceedings of a Conference, Reserve Bank of Australia, Sydney: 261–296.</w:t>
      </w:r>
    </w:p>
    <w:p w:rsidRPr="00640A10" w:rsidR="00F9317F" w:rsidP="00F9317F" w:rsidRDefault="00F9317F" w14:paraId="77271FD4" w14:textId="76BE428B">
      <w:pPr>
        <w:pStyle w:val="BodyText"/>
        <w:rPr>
          <w:rFonts w:eastAsiaTheme="minorEastAsia"/>
        </w:rPr>
      </w:pPr>
      <w:r w:rsidRPr="00F1081A">
        <w:t>Yates, J. (2012) ‘Housing and distribution of wealth’, 2012 Giblin Lecture, University of Tasmania, Hobart, 18 October, accessed 19 December 2017, http://sydney.edu.au/arts/economics/downloads/documents/pdf/Yates-2012-Giblin-lecture.pdf.</w:t>
      </w:r>
    </w:p>
    <w:p w:rsidRPr="00F1081A" w:rsidR="00F9317F" w:rsidP="00F9317F" w:rsidRDefault="00F9317F" w14:paraId="32FCFF44" w14:textId="77777777">
      <w:pPr>
        <w:pStyle w:val="BodyText"/>
        <w:rPr>
          <w:rFonts w:eastAsiaTheme="minorEastAsia"/>
          <w:b/>
        </w:rPr>
      </w:pPr>
    </w:p>
    <w:p w:rsidR="00422469" w:rsidP="06E0383F" w:rsidRDefault="00422469" w14:paraId="64DE2405" w14:textId="77777777">
      <w:pPr>
        <w:pStyle w:val="BodyText"/>
        <w:rPr>
          <w:rFonts w:eastAsiaTheme="minorEastAsia"/>
          <w:b/>
          <w:bCs/>
        </w:rPr>
      </w:pPr>
    </w:p>
    <w:p w:rsidR="005F4C53" w:rsidP="00DE1829" w:rsidRDefault="005F4C53" w14:paraId="290FBCCB" w14:textId="77777777">
      <w:pPr>
        <w:pStyle w:val="BodyText"/>
        <w:rPr>
          <w:rFonts w:eastAsiaTheme="minorEastAsia"/>
          <w:b/>
        </w:rPr>
      </w:pPr>
    </w:p>
    <w:p w:rsidR="005F4C53" w:rsidP="00DE1829" w:rsidRDefault="005F4C53" w14:paraId="5BCA7663" w14:textId="77777777">
      <w:pPr>
        <w:pStyle w:val="BodyText"/>
        <w:rPr>
          <w:rFonts w:eastAsiaTheme="minorEastAsia"/>
          <w:b/>
        </w:rPr>
      </w:pPr>
    </w:p>
    <w:p w:rsidR="005F4C53" w:rsidP="00DE1829" w:rsidRDefault="005F4C53" w14:paraId="012C881D" w14:textId="77777777">
      <w:pPr>
        <w:pStyle w:val="BodyText"/>
        <w:rPr>
          <w:rFonts w:eastAsiaTheme="minorEastAsia"/>
          <w:b/>
        </w:rPr>
      </w:pPr>
    </w:p>
    <w:p w:rsidR="005F4C53" w:rsidP="00DE1829" w:rsidRDefault="005F4C53" w14:paraId="246E7357" w14:textId="77777777">
      <w:pPr>
        <w:pStyle w:val="BodyText"/>
        <w:rPr>
          <w:rFonts w:eastAsiaTheme="minorEastAsia"/>
          <w:b/>
        </w:rPr>
      </w:pPr>
    </w:p>
    <w:p w:rsidR="005F4C53" w:rsidP="00DE1829" w:rsidRDefault="005F4C53" w14:paraId="3C4B89ED" w14:textId="77777777">
      <w:pPr>
        <w:pStyle w:val="BodyText"/>
        <w:rPr>
          <w:rFonts w:eastAsiaTheme="minorEastAsia"/>
          <w:b/>
        </w:rPr>
      </w:pPr>
    </w:p>
    <w:p w:rsidR="005F4C53" w:rsidP="00DE1829" w:rsidRDefault="005F4C53" w14:paraId="38F72CB7" w14:textId="77777777">
      <w:pPr>
        <w:pStyle w:val="BodyText"/>
        <w:rPr>
          <w:rFonts w:eastAsiaTheme="minorEastAsia"/>
          <w:b/>
        </w:rPr>
      </w:pPr>
    </w:p>
    <w:p w:rsidR="005F4C53" w:rsidP="00DE1829" w:rsidRDefault="005F4C53" w14:paraId="7D7B41F1" w14:textId="77777777">
      <w:pPr>
        <w:pStyle w:val="BodyText"/>
        <w:rPr>
          <w:rFonts w:eastAsiaTheme="minorEastAsia"/>
          <w:b/>
        </w:rPr>
      </w:pPr>
    </w:p>
    <w:p w:rsidR="005F4C53" w:rsidP="00DE1829" w:rsidRDefault="005F4C53" w14:paraId="7C9DB61B" w14:textId="77777777">
      <w:pPr>
        <w:pStyle w:val="BodyText"/>
        <w:rPr>
          <w:rFonts w:eastAsiaTheme="minorEastAsia"/>
          <w:b/>
        </w:rPr>
      </w:pPr>
    </w:p>
    <w:p w:rsidR="005F4C53" w:rsidP="00DE1829" w:rsidRDefault="005F4C53" w14:paraId="496017E1" w14:textId="77777777">
      <w:pPr>
        <w:pStyle w:val="BodyText"/>
        <w:rPr>
          <w:rFonts w:eastAsiaTheme="minorEastAsia"/>
          <w:b/>
        </w:rPr>
      </w:pPr>
    </w:p>
    <w:p w:rsidR="005F4C53" w:rsidP="00DE1829" w:rsidRDefault="005F4C53" w14:paraId="0680E623" w14:textId="77777777">
      <w:pPr>
        <w:pStyle w:val="BodyText"/>
        <w:rPr>
          <w:rFonts w:eastAsiaTheme="minorEastAsia"/>
          <w:b/>
        </w:rPr>
      </w:pPr>
    </w:p>
    <w:p w:rsidR="005F4C53" w:rsidP="00DE1829" w:rsidRDefault="005F4C53" w14:paraId="1A098690" w14:textId="77777777">
      <w:pPr>
        <w:pStyle w:val="BodyText"/>
        <w:rPr>
          <w:rFonts w:eastAsiaTheme="minorEastAsia"/>
          <w:b/>
        </w:rPr>
      </w:pPr>
    </w:p>
    <w:p w:rsidR="005F4C53" w:rsidP="00DE1829" w:rsidRDefault="005F4C53" w14:paraId="7A7BFE7A" w14:textId="77777777">
      <w:pPr>
        <w:pStyle w:val="BodyText"/>
        <w:rPr>
          <w:rFonts w:eastAsiaTheme="minorEastAsia"/>
          <w:b/>
        </w:rPr>
      </w:pPr>
    </w:p>
    <w:p w:rsidR="005F4C53" w:rsidP="00DE1829" w:rsidRDefault="005F4C53" w14:paraId="01DE890F" w14:textId="77777777">
      <w:pPr>
        <w:pStyle w:val="BodyText"/>
        <w:rPr>
          <w:rFonts w:eastAsiaTheme="minorEastAsia"/>
          <w:b/>
        </w:rPr>
      </w:pPr>
    </w:p>
    <w:p w:rsidR="005F4C53" w:rsidP="00DE1829" w:rsidRDefault="005F4C53" w14:paraId="513CA5F1" w14:textId="77777777">
      <w:pPr>
        <w:pStyle w:val="BodyText"/>
        <w:rPr>
          <w:rFonts w:eastAsiaTheme="minorEastAsia"/>
          <w:b/>
        </w:rPr>
      </w:pPr>
    </w:p>
    <w:p w:rsidR="005F4C53" w:rsidP="00DE1829" w:rsidRDefault="005F4C53" w14:paraId="1EB6EFD0" w14:textId="77777777">
      <w:pPr>
        <w:pStyle w:val="BodyText"/>
        <w:rPr>
          <w:rFonts w:eastAsiaTheme="minorEastAsia"/>
          <w:b/>
        </w:rPr>
      </w:pPr>
    </w:p>
    <w:p w:rsidR="005F4C53" w:rsidP="00DE1829" w:rsidRDefault="005F4C53" w14:paraId="6B1AC033" w14:textId="77777777">
      <w:pPr>
        <w:pStyle w:val="BodyText"/>
        <w:rPr>
          <w:rFonts w:eastAsiaTheme="minorEastAsia"/>
          <w:b/>
        </w:rPr>
      </w:pPr>
    </w:p>
    <w:p w:rsidR="005F4C53" w:rsidP="00DE1829" w:rsidRDefault="005F4C53" w14:paraId="7C4C42DC" w14:textId="77777777">
      <w:pPr>
        <w:pStyle w:val="BodyText"/>
        <w:rPr>
          <w:rFonts w:eastAsiaTheme="minorEastAsia"/>
          <w:b/>
        </w:rPr>
      </w:pPr>
    </w:p>
    <w:p w:rsidR="005F4C53" w:rsidP="00DE1829" w:rsidRDefault="005F4C53" w14:paraId="14ADE623" w14:textId="77777777">
      <w:pPr>
        <w:pStyle w:val="BodyText"/>
        <w:rPr>
          <w:rFonts w:eastAsiaTheme="minorEastAsia"/>
          <w:b/>
        </w:rPr>
      </w:pPr>
    </w:p>
    <w:p w:rsidR="005F4C53" w:rsidP="00DE1829" w:rsidRDefault="005F4C53" w14:paraId="6E629C10" w14:textId="77777777">
      <w:pPr>
        <w:pStyle w:val="BodyText"/>
        <w:rPr>
          <w:rFonts w:eastAsiaTheme="minorEastAsia"/>
          <w:b/>
        </w:rPr>
      </w:pPr>
    </w:p>
    <w:p w:rsidR="005F4C53" w:rsidP="00DE1829" w:rsidRDefault="005F4C53" w14:paraId="5809F95D" w14:textId="77777777">
      <w:pPr>
        <w:pStyle w:val="BodyText"/>
        <w:rPr>
          <w:rFonts w:eastAsiaTheme="minorEastAsia"/>
          <w:b/>
        </w:rPr>
      </w:pPr>
    </w:p>
    <w:p w:rsidR="005F4C53" w:rsidP="00DE1829" w:rsidRDefault="005F4C53" w14:paraId="11B03FD4" w14:textId="77777777">
      <w:pPr>
        <w:pStyle w:val="BodyText"/>
        <w:rPr>
          <w:rFonts w:eastAsiaTheme="minorEastAsia"/>
          <w:b/>
        </w:rPr>
      </w:pPr>
    </w:p>
    <w:p w:rsidR="00DD022D" w:rsidP="00DE1829" w:rsidRDefault="00DD022D" w14:paraId="318D4FBB" w14:textId="77777777">
      <w:pPr>
        <w:pStyle w:val="BodyText"/>
        <w:rPr>
          <w:rFonts w:eastAsiaTheme="minorEastAsia"/>
          <w:b/>
        </w:rPr>
        <w:sectPr w:rsidR="00DD022D" w:rsidSect="005F39EC">
          <w:pgSz w:w="11907" w:h="16840" w:orient="portrait" w:code="9"/>
          <w:pgMar w:top="794" w:right="794" w:bottom="794" w:left="794" w:header="567" w:footer="340" w:gutter="0"/>
          <w:cols w:space="284" w:num="2"/>
          <w:docGrid w:linePitch="360"/>
          <w15:footnoteColumns w:val="1"/>
        </w:sectPr>
      </w:pPr>
    </w:p>
    <w:p w:rsidRPr="00E1788C" w:rsidR="005F4C53" w:rsidP="00DD022D" w:rsidRDefault="00DD022D" w14:paraId="153876C1" w14:textId="77777777">
      <w:pPr>
        <w:pStyle w:val="BodyText"/>
        <w:rPr>
          <w:rFonts w:eastAsiaTheme="minorEastAsia"/>
          <w:b/>
        </w:rPr>
      </w:pPr>
      <w:r>
        <w:rPr>
          <w:noProof/>
        </w:rPr>
        <w:drawing>
          <wp:anchor distT="0" distB="0" distL="114300" distR="114300" simplePos="0" relativeHeight="251658240" behindDoc="0" locked="1" layoutInCell="1" allowOverlap="1" wp14:anchorId="7CF8B067" wp14:editId="6B946AB5">
            <wp:simplePos x="0" y="0"/>
            <wp:positionH relativeFrom="page">
              <wp:posOffset>-1270</wp:posOffset>
            </wp:positionH>
            <wp:positionV relativeFrom="page">
              <wp:align>top</wp:align>
            </wp:positionV>
            <wp:extent cx="7557135" cy="10690860"/>
            <wp:effectExtent l="0" t="0" r="5715"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36"/>
                    <a:stretch>
                      <a:fillRect/>
                    </a:stretch>
                  </pic:blipFill>
                  <pic:spPr>
                    <a:xfrm>
                      <a:off x="0" y="0"/>
                      <a:ext cx="7557655" cy="10691442"/>
                    </a:xfrm>
                    <a:prstGeom prst="rect">
                      <a:avLst/>
                    </a:prstGeom>
                  </pic:spPr>
                </pic:pic>
              </a:graphicData>
            </a:graphic>
            <wp14:sizeRelH relativeFrom="margin">
              <wp14:pctWidth>0</wp14:pctWidth>
            </wp14:sizeRelH>
            <wp14:sizeRelV relativeFrom="margin">
              <wp14:pctHeight>0</wp14:pctHeight>
            </wp14:sizeRelV>
          </wp:anchor>
        </w:drawing>
      </w:r>
    </w:p>
    <w:sectPr w:rsidRPr="00E1788C" w:rsidR="005F4C53" w:rsidSect="00DD022D">
      <w:type w:val="continuous"/>
      <w:pgSz w:w="11907" w:h="16840" w:orient="portrait" w:code="9"/>
      <w:pgMar w:top="794" w:right="794" w:bottom="794" w:left="794" w:header="567" w:footer="340" w:gutter="0"/>
      <w:cols w:space="284"/>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D7E1B" w:rsidP="00CE604F" w:rsidRDefault="00FD7E1B" w14:paraId="4A1319EC" w14:textId="77777777">
      <w:r>
        <w:separator/>
      </w:r>
    </w:p>
    <w:p w:rsidR="00FD7E1B" w:rsidP="00CE604F" w:rsidRDefault="00FD7E1B" w14:paraId="59D654E4" w14:textId="77777777"/>
    <w:p w:rsidR="00FD7E1B" w:rsidP="00CE604F" w:rsidRDefault="00FD7E1B" w14:paraId="0E8386B9" w14:textId="77777777"/>
    <w:p w:rsidR="00FD7E1B" w:rsidP="00CE604F" w:rsidRDefault="00FD7E1B" w14:paraId="66D41D27" w14:textId="77777777"/>
  </w:endnote>
  <w:endnote w:type="continuationSeparator" w:id="0">
    <w:p w:rsidR="00FD7E1B" w:rsidP="00CE604F" w:rsidRDefault="00FD7E1B" w14:paraId="34B559AB" w14:textId="77777777">
      <w:r>
        <w:continuationSeparator/>
      </w:r>
    </w:p>
    <w:p w:rsidR="00FD7E1B" w:rsidP="00CE604F" w:rsidRDefault="00FD7E1B" w14:paraId="2C3DCFDC" w14:textId="77777777"/>
    <w:p w:rsidR="00FD7E1B" w:rsidP="00CE604F" w:rsidRDefault="00FD7E1B" w14:paraId="5A5C037C" w14:textId="77777777"/>
    <w:p w:rsidR="00FD7E1B" w:rsidP="00CE604F" w:rsidRDefault="00FD7E1B" w14:paraId="16FEA0B7" w14:textId="77777777"/>
  </w:endnote>
  <w:endnote w:type="continuationNotice" w:id="1">
    <w:p w:rsidR="00FD7E1B" w:rsidRDefault="00FD7E1B" w14:paraId="565957F6"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rcular Std Book">
    <w:panose1 w:val="00000000000000000000"/>
    <w:charset w:val="00"/>
    <w:family w:val="swiss"/>
    <w:notTrueType/>
    <w:pitch w:val="variable"/>
    <w:sig w:usb0="8000002F" w:usb1="5000E47B" w:usb2="00000008"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034A7D" w:rsidR="0099324A" w:rsidP="00034A7D" w:rsidRDefault="0099324A" w14:paraId="26796CD7" w14:textId="77777777">
    <w:pPr>
      <w:pStyle w:val="FooterEven"/>
    </w:pP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sidR="00DE1829">
      <w:rPr>
        <w:rStyle w:val="PageNumber"/>
        <w:noProof/>
      </w:rPr>
      <w:t>4</w:t>
    </w:r>
    <w:r w:rsidRPr="00034A7D">
      <w:rPr>
        <w:rStyle w:val="PageNumber"/>
      </w:rPr>
      <w:fldChar w:fldCharType="end"/>
    </w:r>
    <w:r w:rsidRPr="00034A7D">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034A7D" w:rsidR="0099324A" w:rsidP="00E3052C" w:rsidRDefault="0099324A" w14:paraId="13822FA4" w14:textId="77777777">
    <w:pPr>
      <w:pStyle w:val="Footer"/>
    </w:pPr>
    <w:r w:rsidRPr="00034A7D">
      <w:t> </w:t>
    </w: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sidR="00DE1829">
      <w:rPr>
        <w:rStyle w:val="PageNumber"/>
        <w:noProof/>
      </w:rPr>
      <w:t>3</w:t>
    </w:r>
    <w:r w:rsidRPr="00034A7D">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D7ACF" w:rsidRDefault="007D7ACF" w14:paraId="6441F85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D7E1B" w:rsidP="00CE604F" w:rsidRDefault="00FD7E1B" w14:paraId="3F1F0249" w14:textId="77777777">
      <w:r>
        <w:separator/>
      </w:r>
    </w:p>
  </w:footnote>
  <w:footnote w:type="continuationSeparator" w:id="0">
    <w:p w:rsidR="00FD7E1B" w:rsidP="00CE604F" w:rsidRDefault="00FD7E1B" w14:paraId="6A0F6BCD" w14:textId="77777777">
      <w:r>
        <w:continuationSeparator/>
      </w:r>
    </w:p>
    <w:p w:rsidR="00FD7E1B" w:rsidP="00CE604F" w:rsidRDefault="00FD7E1B" w14:paraId="6CA79161" w14:textId="77777777"/>
    <w:p w:rsidR="00FD7E1B" w:rsidP="00CE604F" w:rsidRDefault="00FD7E1B" w14:paraId="73812461" w14:textId="77777777"/>
    <w:p w:rsidR="00FD7E1B" w:rsidP="00CE604F" w:rsidRDefault="00FD7E1B" w14:paraId="3C5D9E0A" w14:textId="77777777"/>
  </w:footnote>
  <w:footnote w:type="continuationNotice" w:id="1">
    <w:p w:rsidR="00FD7E1B" w:rsidRDefault="00FD7E1B" w14:paraId="7716C697"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9324A" w:rsidP="005F39EC" w:rsidRDefault="0099324A" w14:paraId="128C6616" w14:textId="77777777">
    <w:pPr>
      <w:pStyle w:val="HeaderSpacer"/>
    </w:pPr>
  </w:p>
  <w:p w:rsidR="0099324A" w:rsidRDefault="0099324A" w14:paraId="2F3514E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5F39EC" w:rsidR="0099324A" w:rsidP="005F39EC" w:rsidRDefault="0099324A" w14:paraId="1B30AB45" w14:textId="77777777">
    <w:pPr>
      <w:pStyle w:val="HeaderSpacer"/>
    </w:pPr>
  </w:p>
  <w:p w:rsidR="0099324A" w:rsidRDefault="0099324A" w14:paraId="35274305"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9324A" w:rsidP="005F39EC" w:rsidRDefault="0099324A" w14:paraId="7F2D3B55" w14:textId="77777777">
    <w:pPr>
      <w:pStyle w:val="Header"/>
    </w:pPr>
    <w:r>
      <w:rPr>
        <w:noProof/>
      </w:rPr>
      <w:drawing>
        <wp:anchor distT="0" distB="0" distL="114300" distR="114300" simplePos="0" relativeHeight="251658240" behindDoc="0" locked="1" layoutInCell="1" allowOverlap="1" wp14:anchorId="3E8B7550" wp14:editId="072050B6">
          <wp:simplePos x="504825" y="361950"/>
          <wp:positionH relativeFrom="page">
            <wp:align>left</wp:align>
          </wp:positionH>
          <wp:positionV relativeFrom="page">
            <wp:align>top</wp:align>
          </wp:positionV>
          <wp:extent cx="7560000" cy="10692000"/>
          <wp:effectExtent l="0" t="0" r="3175"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ver Pa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8E328FE8"/>
    <w:lvl w:ilvl="0">
      <w:start w:val="1"/>
      <w:numFmt w:val="bullet"/>
      <w:lvlText w:val=""/>
      <w:lvlJc w:val="left"/>
      <w:pPr>
        <w:tabs>
          <w:tab w:val="num" w:pos="643"/>
        </w:tabs>
        <w:ind w:left="643" w:hanging="360"/>
      </w:pPr>
      <w:rPr>
        <w:rFonts w:hint="default" w:ascii="Symbol" w:hAnsi="Symbol"/>
      </w:rPr>
    </w:lvl>
  </w:abstractNum>
  <w:abstractNum w:abstractNumId="1" w15:restartNumberingAfterBreak="0">
    <w:nsid w:val="FFFFFF88"/>
    <w:multiLevelType w:val="singleLevel"/>
    <w:tmpl w:val="16423D02"/>
    <w:name w:val="PappasNumbering"/>
    <w:lvl w:ilvl="0">
      <w:start w:val="1"/>
      <w:numFmt w:val="decimal"/>
      <w:lvlText w:val="%1."/>
      <w:lvlJc w:val="left"/>
      <w:pPr>
        <w:tabs>
          <w:tab w:val="num" w:pos="340"/>
        </w:tabs>
        <w:ind w:left="340" w:hanging="340"/>
      </w:pPr>
      <w:rPr>
        <w:rFonts w:hint="default"/>
      </w:rPr>
    </w:lvl>
  </w:abstractNum>
  <w:abstractNum w:abstractNumId="2" w15:restartNumberingAfterBreak="0">
    <w:nsid w:val="FFFFFF89"/>
    <w:multiLevelType w:val="singleLevel"/>
    <w:tmpl w:val="C97AF13E"/>
    <w:lvl w:ilvl="0">
      <w:start w:val="1"/>
      <w:numFmt w:val="bullet"/>
      <w:pStyle w:val="ListBullet"/>
      <w:lvlText w:val=""/>
      <w:lvlJc w:val="left"/>
      <w:pPr>
        <w:tabs>
          <w:tab w:val="num" w:pos="360"/>
        </w:tabs>
        <w:ind w:left="360" w:hanging="360"/>
      </w:pPr>
      <w:rPr>
        <w:rFonts w:hint="default" w:ascii="Symbol" w:hAnsi="Symbol"/>
      </w:rPr>
    </w:lvl>
  </w:abstractNum>
  <w:abstractNum w:abstractNumId="3" w15:restartNumberingAfterBreak="0">
    <w:nsid w:val="0061487B"/>
    <w:multiLevelType w:val="hybridMultilevel"/>
    <w:tmpl w:val="FFFFFFFF"/>
    <w:lvl w:ilvl="0" w:tplc="5874D214">
      <w:start w:val="1"/>
      <w:numFmt w:val="bullet"/>
      <w:lvlText w:val=""/>
      <w:lvlJc w:val="left"/>
      <w:pPr>
        <w:ind w:left="720" w:hanging="360"/>
      </w:pPr>
      <w:rPr>
        <w:rFonts w:hint="default" w:ascii="Symbol" w:hAnsi="Symbol"/>
      </w:rPr>
    </w:lvl>
    <w:lvl w:ilvl="1" w:tplc="EA4E77DE">
      <w:start w:val="1"/>
      <w:numFmt w:val="bullet"/>
      <w:lvlText w:val="o"/>
      <w:lvlJc w:val="left"/>
      <w:pPr>
        <w:ind w:left="1440" w:hanging="360"/>
      </w:pPr>
      <w:rPr>
        <w:rFonts w:hint="default" w:ascii="Courier New" w:hAnsi="Courier New"/>
      </w:rPr>
    </w:lvl>
    <w:lvl w:ilvl="2" w:tplc="EC669804">
      <w:start w:val="1"/>
      <w:numFmt w:val="bullet"/>
      <w:lvlText w:val=""/>
      <w:lvlJc w:val="left"/>
      <w:pPr>
        <w:ind w:left="2160" w:hanging="360"/>
      </w:pPr>
      <w:rPr>
        <w:rFonts w:hint="default" w:ascii="Wingdings" w:hAnsi="Wingdings"/>
      </w:rPr>
    </w:lvl>
    <w:lvl w:ilvl="3" w:tplc="3C3C1C84">
      <w:start w:val="1"/>
      <w:numFmt w:val="bullet"/>
      <w:lvlText w:val=""/>
      <w:lvlJc w:val="left"/>
      <w:pPr>
        <w:ind w:left="2880" w:hanging="360"/>
      </w:pPr>
      <w:rPr>
        <w:rFonts w:hint="default" w:ascii="Symbol" w:hAnsi="Symbol"/>
      </w:rPr>
    </w:lvl>
    <w:lvl w:ilvl="4" w:tplc="56C07FC6">
      <w:start w:val="1"/>
      <w:numFmt w:val="bullet"/>
      <w:lvlText w:val="o"/>
      <w:lvlJc w:val="left"/>
      <w:pPr>
        <w:ind w:left="3600" w:hanging="360"/>
      </w:pPr>
      <w:rPr>
        <w:rFonts w:hint="default" w:ascii="Courier New" w:hAnsi="Courier New"/>
      </w:rPr>
    </w:lvl>
    <w:lvl w:ilvl="5" w:tplc="6E2E5ACA">
      <w:start w:val="1"/>
      <w:numFmt w:val="bullet"/>
      <w:lvlText w:val=""/>
      <w:lvlJc w:val="left"/>
      <w:pPr>
        <w:ind w:left="4320" w:hanging="360"/>
      </w:pPr>
      <w:rPr>
        <w:rFonts w:hint="default" w:ascii="Wingdings" w:hAnsi="Wingdings"/>
      </w:rPr>
    </w:lvl>
    <w:lvl w:ilvl="6" w:tplc="8F80AAB2">
      <w:start w:val="1"/>
      <w:numFmt w:val="bullet"/>
      <w:lvlText w:val=""/>
      <w:lvlJc w:val="left"/>
      <w:pPr>
        <w:ind w:left="5040" w:hanging="360"/>
      </w:pPr>
      <w:rPr>
        <w:rFonts w:hint="default" w:ascii="Symbol" w:hAnsi="Symbol"/>
      </w:rPr>
    </w:lvl>
    <w:lvl w:ilvl="7" w:tplc="23D4FA7A">
      <w:start w:val="1"/>
      <w:numFmt w:val="bullet"/>
      <w:lvlText w:val="o"/>
      <w:lvlJc w:val="left"/>
      <w:pPr>
        <w:ind w:left="5760" w:hanging="360"/>
      </w:pPr>
      <w:rPr>
        <w:rFonts w:hint="default" w:ascii="Courier New" w:hAnsi="Courier New"/>
      </w:rPr>
    </w:lvl>
    <w:lvl w:ilvl="8" w:tplc="BB9AB83E">
      <w:start w:val="1"/>
      <w:numFmt w:val="bullet"/>
      <w:lvlText w:val=""/>
      <w:lvlJc w:val="left"/>
      <w:pPr>
        <w:ind w:left="6480" w:hanging="360"/>
      </w:pPr>
      <w:rPr>
        <w:rFonts w:hint="default" w:ascii="Wingdings" w:hAnsi="Wingdings"/>
      </w:rPr>
    </w:lvl>
  </w:abstractNum>
  <w:abstractNum w:abstractNumId="4" w15:restartNumberingAfterBreak="0">
    <w:nsid w:val="010AA93A"/>
    <w:multiLevelType w:val="hybridMultilevel"/>
    <w:tmpl w:val="FFFFFFFF"/>
    <w:lvl w:ilvl="0" w:tplc="B884506C">
      <w:start w:val="1"/>
      <w:numFmt w:val="bullet"/>
      <w:lvlText w:val=""/>
      <w:lvlJc w:val="left"/>
      <w:pPr>
        <w:ind w:left="720" w:hanging="360"/>
      </w:pPr>
      <w:rPr>
        <w:rFonts w:hint="default" w:ascii="Symbol" w:hAnsi="Symbol"/>
      </w:rPr>
    </w:lvl>
    <w:lvl w:ilvl="1" w:tplc="BBFC52D0">
      <w:start w:val="1"/>
      <w:numFmt w:val="bullet"/>
      <w:lvlText w:val="o"/>
      <w:lvlJc w:val="left"/>
      <w:pPr>
        <w:ind w:left="1440" w:hanging="360"/>
      </w:pPr>
      <w:rPr>
        <w:rFonts w:hint="default" w:ascii="Courier New" w:hAnsi="Courier New"/>
      </w:rPr>
    </w:lvl>
    <w:lvl w:ilvl="2" w:tplc="68F4DFF4">
      <w:start w:val="1"/>
      <w:numFmt w:val="bullet"/>
      <w:lvlText w:val=""/>
      <w:lvlJc w:val="left"/>
      <w:pPr>
        <w:ind w:left="2160" w:hanging="360"/>
      </w:pPr>
      <w:rPr>
        <w:rFonts w:hint="default" w:ascii="Wingdings" w:hAnsi="Wingdings"/>
      </w:rPr>
    </w:lvl>
    <w:lvl w:ilvl="3" w:tplc="57DE549A">
      <w:start w:val="1"/>
      <w:numFmt w:val="bullet"/>
      <w:lvlText w:val=""/>
      <w:lvlJc w:val="left"/>
      <w:pPr>
        <w:ind w:left="2880" w:hanging="360"/>
      </w:pPr>
      <w:rPr>
        <w:rFonts w:hint="default" w:ascii="Symbol" w:hAnsi="Symbol"/>
      </w:rPr>
    </w:lvl>
    <w:lvl w:ilvl="4" w:tplc="25B04144">
      <w:start w:val="1"/>
      <w:numFmt w:val="bullet"/>
      <w:lvlText w:val="o"/>
      <w:lvlJc w:val="left"/>
      <w:pPr>
        <w:ind w:left="3600" w:hanging="360"/>
      </w:pPr>
      <w:rPr>
        <w:rFonts w:hint="default" w:ascii="Courier New" w:hAnsi="Courier New"/>
      </w:rPr>
    </w:lvl>
    <w:lvl w:ilvl="5" w:tplc="274A9C26">
      <w:start w:val="1"/>
      <w:numFmt w:val="bullet"/>
      <w:lvlText w:val=""/>
      <w:lvlJc w:val="left"/>
      <w:pPr>
        <w:ind w:left="4320" w:hanging="360"/>
      </w:pPr>
      <w:rPr>
        <w:rFonts w:hint="default" w:ascii="Wingdings" w:hAnsi="Wingdings"/>
      </w:rPr>
    </w:lvl>
    <w:lvl w:ilvl="6" w:tplc="036A6700">
      <w:start w:val="1"/>
      <w:numFmt w:val="bullet"/>
      <w:lvlText w:val=""/>
      <w:lvlJc w:val="left"/>
      <w:pPr>
        <w:ind w:left="5040" w:hanging="360"/>
      </w:pPr>
      <w:rPr>
        <w:rFonts w:hint="default" w:ascii="Symbol" w:hAnsi="Symbol"/>
      </w:rPr>
    </w:lvl>
    <w:lvl w:ilvl="7" w:tplc="F64C624E">
      <w:start w:val="1"/>
      <w:numFmt w:val="bullet"/>
      <w:lvlText w:val="o"/>
      <w:lvlJc w:val="left"/>
      <w:pPr>
        <w:ind w:left="5760" w:hanging="360"/>
      </w:pPr>
      <w:rPr>
        <w:rFonts w:hint="default" w:ascii="Courier New" w:hAnsi="Courier New"/>
      </w:rPr>
    </w:lvl>
    <w:lvl w:ilvl="8" w:tplc="C9622D32">
      <w:start w:val="1"/>
      <w:numFmt w:val="bullet"/>
      <w:lvlText w:val=""/>
      <w:lvlJc w:val="left"/>
      <w:pPr>
        <w:ind w:left="6480" w:hanging="360"/>
      </w:pPr>
      <w:rPr>
        <w:rFonts w:hint="default" w:ascii="Wingdings" w:hAnsi="Wingdings"/>
      </w:rPr>
    </w:lvl>
  </w:abstractNum>
  <w:abstractNum w:abstractNumId="5"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hint="default" w:ascii="Symbol" w:hAnsi="Symbol"/>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068B37FE"/>
    <w:multiLevelType w:val="multilevel"/>
    <w:tmpl w:val="1A4E6C40"/>
    <w:name w:val="MyBullets"/>
    <w:lvl w:ilvl="0">
      <w:start w:val="1"/>
      <w:numFmt w:val="bullet"/>
      <w:lvlText w:val=""/>
      <w:lvlJc w:val="left"/>
      <w:pPr>
        <w:tabs>
          <w:tab w:val="num" w:pos="454"/>
        </w:tabs>
        <w:ind w:left="454" w:hanging="454"/>
      </w:pPr>
      <w:rPr>
        <w:rFonts w:hint="default" w:ascii="Wingdings" w:hAnsi="Wingdings"/>
        <w:b w:val="0"/>
        <w:i w:val="0"/>
        <w:position w:val="3"/>
        <w:sz w:val="12"/>
        <w:szCs w:val="17"/>
      </w:rPr>
    </w:lvl>
    <w:lvl w:ilvl="1">
      <w:start w:val="1"/>
      <w:numFmt w:val="bullet"/>
      <w:lvlText w:val=""/>
      <w:lvlJc w:val="left"/>
      <w:pPr>
        <w:tabs>
          <w:tab w:val="num" w:pos="907"/>
        </w:tabs>
        <w:ind w:left="907" w:hanging="453"/>
      </w:pPr>
      <w:rPr>
        <w:rFonts w:hint="default" w:ascii="Symbol" w:hAnsi="Symbol"/>
        <w:b w:val="0"/>
        <w:i w:val="0"/>
        <w:position w:val="2"/>
        <w:sz w:val="17"/>
        <w:szCs w:val="17"/>
      </w:rPr>
    </w:lvl>
    <w:lvl w:ilvl="2">
      <w:start w:val="1"/>
      <w:numFmt w:val="bullet"/>
      <w:lvlText w:val=""/>
      <w:lvlJc w:val="left"/>
      <w:pPr>
        <w:tabs>
          <w:tab w:val="num" w:pos="1361"/>
        </w:tabs>
        <w:ind w:left="1361" w:hanging="454"/>
      </w:pPr>
      <w:rPr>
        <w:rFonts w:hint="default" w:ascii="Symbol" w:hAnsi="Symbol"/>
        <w:b w:val="0"/>
        <w:i w:val="0"/>
        <w:color w:val="auto"/>
        <w:spacing w:val="0"/>
        <w:w w:val="100"/>
        <w:position w:val="0"/>
        <w:sz w:val="12"/>
        <w:szCs w:val="17"/>
      </w:rPr>
    </w:lvl>
    <w:lvl w:ilvl="3">
      <w:start w:val="1"/>
      <w:numFmt w:val="bullet"/>
      <w:lvlText w:val=""/>
      <w:lvlJc w:val="left"/>
      <w:pPr>
        <w:tabs>
          <w:tab w:val="num" w:pos="1134"/>
        </w:tabs>
        <w:ind w:left="1134" w:hanging="283"/>
      </w:pPr>
      <w:rPr>
        <w:rFonts w:hint="default" w:ascii="Symbol" w:hAnsi="Symbol"/>
      </w:rPr>
    </w:lvl>
    <w:lvl w:ilvl="4">
      <w:start w:val="1"/>
      <w:numFmt w:val="bullet"/>
      <w:lvlText w:val=""/>
      <w:lvlJc w:val="left"/>
      <w:pPr>
        <w:tabs>
          <w:tab w:val="num" w:pos="1418"/>
        </w:tabs>
        <w:ind w:left="1418" w:hanging="284"/>
      </w:pPr>
      <w:rPr>
        <w:rFonts w:hint="default" w:ascii="Symbol" w:hAnsi="Symbol"/>
      </w:rPr>
    </w:lvl>
    <w:lvl w:ilvl="5">
      <w:start w:val="1"/>
      <w:numFmt w:val="bullet"/>
      <w:lvlText w:val=""/>
      <w:lvlJc w:val="left"/>
      <w:pPr>
        <w:tabs>
          <w:tab w:val="num" w:pos="2160"/>
        </w:tabs>
        <w:ind w:left="2160" w:hanging="360"/>
      </w:pPr>
      <w:rPr>
        <w:rFonts w:hint="default" w:ascii="Wingdings" w:hAnsi="Wingdings"/>
      </w:rPr>
    </w:lvl>
    <w:lvl w:ilvl="6">
      <w:start w:val="1"/>
      <w:numFmt w:val="bullet"/>
      <w:lvlText w:val=""/>
      <w:lvlJc w:val="left"/>
      <w:pPr>
        <w:tabs>
          <w:tab w:val="num" w:pos="2520"/>
        </w:tabs>
        <w:ind w:left="2520" w:hanging="360"/>
      </w:pPr>
      <w:rPr>
        <w:rFonts w:hint="default" w:ascii="Wingdings" w:hAnsi="Wingdings"/>
      </w:rPr>
    </w:lvl>
    <w:lvl w:ilvl="7">
      <w:start w:val="1"/>
      <w:numFmt w:val="bullet"/>
      <w:lvlText w:val=""/>
      <w:lvlJc w:val="left"/>
      <w:pPr>
        <w:tabs>
          <w:tab w:val="num" w:pos="2880"/>
        </w:tabs>
        <w:ind w:left="2880" w:hanging="360"/>
      </w:pPr>
      <w:rPr>
        <w:rFonts w:hint="default" w:ascii="Symbol" w:hAnsi="Symbol"/>
      </w:rPr>
    </w:lvl>
    <w:lvl w:ilvl="8">
      <w:start w:val="1"/>
      <w:numFmt w:val="bullet"/>
      <w:lvlText w:val=""/>
      <w:lvlJc w:val="left"/>
      <w:pPr>
        <w:tabs>
          <w:tab w:val="num" w:pos="3240"/>
        </w:tabs>
        <w:ind w:left="3240" w:hanging="360"/>
      </w:pPr>
      <w:rPr>
        <w:rFonts w:hint="default" w:ascii="Symbol" w:hAnsi="Symbol"/>
      </w:rPr>
    </w:lvl>
  </w:abstractNum>
  <w:abstractNum w:abstractNumId="7" w15:restartNumberingAfterBreak="0">
    <w:nsid w:val="07603098"/>
    <w:multiLevelType w:val="hybridMultilevel"/>
    <w:tmpl w:val="FFFFFFFF"/>
    <w:lvl w:ilvl="0" w:tplc="9EF24288">
      <w:start w:val="1"/>
      <w:numFmt w:val="bullet"/>
      <w:lvlText w:val=""/>
      <w:lvlJc w:val="left"/>
      <w:pPr>
        <w:ind w:left="720" w:hanging="360"/>
      </w:pPr>
      <w:rPr>
        <w:rFonts w:hint="default" w:ascii="Symbol" w:hAnsi="Symbol"/>
      </w:rPr>
    </w:lvl>
    <w:lvl w:ilvl="1" w:tplc="BD063EB8">
      <w:start w:val="1"/>
      <w:numFmt w:val="bullet"/>
      <w:lvlText w:val="o"/>
      <w:lvlJc w:val="left"/>
      <w:pPr>
        <w:ind w:left="1440" w:hanging="360"/>
      </w:pPr>
      <w:rPr>
        <w:rFonts w:hint="default" w:ascii="Courier New" w:hAnsi="Courier New"/>
      </w:rPr>
    </w:lvl>
    <w:lvl w:ilvl="2" w:tplc="72640B3A">
      <w:start w:val="1"/>
      <w:numFmt w:val="bullet"/>
      <w:lvlText w:val=""/>
      <w:lvlJc w:val="left"/>
      <w:pPr>
        <w:ind w:left="2160" w:hanging="360"/>
      </w:pPr>
      <w:rPr>
        <w:rFonts w:hint="default" w:ascii="Wingdings" w:hAnsi="Wingdings"/>
      </w:rPr>
    </w:lvl>
    <w:lvl w:ilvl="3" w:tplc="05387306">
      <w:start w:val="1"/>
      <w:numFmt w:val="bullet"/>
      <w:lvlText w:val=""/>
      <w:lvlJc w:val="left"/>
      <w:pPr>
        <w:ind w:left="2880" w:hanging="360"/>
      </w:pPr>
      <w:rPr>
        <w:rFonts w:hint="default" w:ascii="Symbol" w:hAnsi="Symbol"/>
      </w:rPr>
    </w:lvl>
    <w:lvl w:ilvl="4" w:tplc="4042718A">
      <w:start w:val="1"/>
      <w:numFmt w:val="bullet"/>
      <w:lvlText w:val="o"/>
      <w:lvlJc w:val="left"/>
      <w:pPr>
        <w:ind w:left="3600" w:hanging="360"/>
      </w:pPr>
      <w:rPr>
        <w:rFonts w:hint="default" w:ascii="Courier New" w:hAnsi="Courier New"/>
      </w:rPr>
    </w:lvl>
    <w:lvl w:ilvl="5" w:tplc="29365E0A">
      <w:start w:val="1"/>
      <w:numFmt w:val="bullet"/>
      <w:lvlText w:val=""/>
      <w:lvlJc w:val="left"/>
      <w:pPr>
        <w:ind w:left="4320" w:hanging="360"/>
      </w:pPr>
      <w:rPr>
        <w:rFonts w:hint="default" w:ascii="Wingdings" w:hAnsi="Wingdings"/>
      </w:rPr>
    </w:lvl>
    <w:lvl w:ilvl="6" w:tplc="F906FF5A">
      <w:start w:val="1"/>
      <w:numFmt w:val="bullet"/>
      <w:lvlText w:val=""/>
      <w:lvlJc w:val="left"/>
      <w:pPr>
        <w:ind w:left="5040" w:hanging="360"/>
      </w:pPr>
      <w:rPr>
        <w:rFonts w:hint="default" w:ascii="Symbol" w:hAnsi="Symbol"/>
      </w:rPr>
    </w:lvl>
    <w:lvl w:ilvl="7" w:tplc="D2DCCE70">
      <w:start w:val="1"/>
      <w:numFmt w:val="bullet"/>
      <w:lvlText w:val="o"/>
      <w:lvlJc w:val="left"/>
      <w:pPr>
        <w:ind w:left="5760" w:hanging="360"/>
      </w:pPr>
      <w:rPr>
        <w:rFonts w:hint="default" w:ascii="Courier New" w:hAnsi="Courier New"/>
      </w:rPr>
    </w:lvl>
    <w:lvl w:ilvl="8" w:tplc="1C9CD6F2">
      <w:start w:val="1"/>
      <w:numFmt w:val="bullet"/>
      <w:lvlText w:val=""/>
      <w:lvlJc w:val="left"/>
      <w:pPr>
        <w:ind w:left="6480" w:hanging="360"/>
      </w:pPr>
      <w:rPr>
        <w:rFonts w:hint="default" w:ascii="Wingdings" w:hAnsi="Wingdings"/>
      </w:rPr>
    </w:lvl>
  </w:abstractNum>
  <w:abstractNum w:abstractNumId="8" w15:restartNumberingAfterBreak="0">
    <w:nsid w:val="101473A9"/>
    <w:multiLevelType w:val="hybridMultilevel"/>
    <w:tmpl w:val="E2FED99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12787875"/>
    <w:multiLevelType w:val="hybridMultilevel"/>
    <w:tmpl w:val="7BC81DE0"/>
    <w:lvl w:ilvl="0" w:tplc="74AAFE72">
      <w:start w:val="1"/>
      <w:numFmt w:val="bullet"/>
      <w:lvlText w:val=""/>
      <w:lvlJc w:val="left"/>
      <w:pPr>
        <w:ind w:left="720" w:hanging="360"/>
      </w:pPr>
      <w:rPr>
        <w:rFonts w:hint="default" w:ascii="Symbol" w:hAnsi="Symbol"/>
      </w:rPr>
    </w:lvl>
    <w:lvl w:ilvl="1" w:tplc="0240A80E">
      <w:start w:val="1"/>
      <w:numFmt w:val="bullet"/>
      <w:lvlText w:val=""/>
      <w:lvlJc w:val="left"/>
      <w:pPr>
        <w:ind w:left="1440" w:hanging="360"/>
      </w:pPr>
      <w:rPr>
        <w:rFonts w:hint="default" w:ascii="Symbol" w:hAnsi="Symbol"/>
      </w:rPr>
    </w:lvl>
    <w:lvl w:ilvl="2" w:tplc="AE9E7028">
      <w:start w:val="1"/>
      <w:numFmt w:val="bullet"/>
      <w:lvlText w:val=""/>
      <w:lvlJc w:val="left"/>
      <w:pPr>
        <w:ind w:left="2160" w:hanging="360"/>
      </w:pPr>
      <w:rPr>
        <w:rFonts w:hint="default" w:ascii="Wingdings" w:hAnsi="Wingdings"/>
      </w:rPr>
    </w:lvl>
    <w:lvl w:ilvl="3" w:tplc="4232F2C4">
      <w:start w:val="1"/>
      <w:numFmt w:val="bullet"/>
      <w:lvlText w:val=""/>
      <w:lvlJc w:val="left"/>
      <w:pPr>
        <w:ind w:left="2880" w:hanging="360"/>
      </w:pPr>
      <w:rPr>
        <w:rFonts w:hint="default" w:ascii="Symbol" w:hAnsi="Symbol"/>
      </w:rPr>
    </w:lvl>
    <w:lvl w:ilvl="4" w:tplc="098A6A88">
      <w:start w:val="1"/>
      <w:numFmt w:val="bullet"/>
      <w:lvlText w:val="o"/>
      <w:lvlJc w:val="left"/>
      <w:pPr>
        <w:ind w:left="3600" w:hanging="360"/>
      </w:pPr>
      <w:rPr>
        <w:rFonts w:hint="default" w:ascii="Courier New" w:hAnsi="Courier New"/>
      </w:rPr>
    </w:lvl>
    <w:lvl w:ilvl="5" w:tplc="839C6F88">
      <w:start w:val="1"/>
      <w:numFmt w:val="bullet"/>
      <w:lvlText w:val=""/>
      <w:lvlJc w:val="left"/>
      <w:pPr>
        <w:ind w:left="4320" w:hanging="360"/>
      </w:pPr>
      <w:rPr>
        <w:rFonts w:hint="default" w:ascii="Wingdings" w:hAnsi="Wingdings"/>
      </w:rPr>
    </w:lvl>
    <w:lvl w:ilvl="6" w:tplc="121C06F0">
      <w:start w:val="1"/>
      <w:numFmt w:val="bullet"/>
      <w:lvlText w:val=""/>
      <w:lvlJc w:val="left"/>
      <w:pPr>
        <w:ind w:left="5040" w:hanging="360"/>
      </w:pPr>
      <w:rPr>
        <w:rFonts w:hint="default" w:ascii="Symbol" w:hAnsi="Symbol"/>
      </w:rPr>
    </w:lvl>
    <w:lvl w:ilvl="7" w:tplc="A4606386">
      <w:start w:val="1"/>
      <w:numFmt w:val="bullet"/>
      <w:lvlText w:val="o"/>
      <w:lvlJc w:val="left"/>
      <w:pPr>
        <w:ind w:left="5760" w:hanging="360"/>
      </w:pPr>
      <w:rPr>
        <w:rFonts w:hint="default" w:ascii="Courier New" w:hAnsi="Courier New"/>
      </w:rPr>
    </w:lvl>
    <w:lvl w:ilvl="8" w:tplc="A76437C8">
      <w:start w:val="1"/>
      <w:numFmt w:val="bullet"/>
      <w:lvlText w:val=""/>
      <w:lvlJc w:val="left"/>
      <w:pPr>
        <w:ind w:left="6480" w:hanging="360"/>
      </w:pPr>
      <w:rPr>
        <w:rFonts w:hint="default" w:ascii="Wingdings" w:hAnsi="Wingdings"/>
      </w:rPr>
    </w:lvl>
  </w:abstractNum>
  <w:abstractNum w:abstractNumId="10" w15:restartNumberingAfterBreak="0">
    <w:nsid w:val="15CE3B88"/>
    <w:multiLevelType w:val="hybridMultilevel"/>
    <w:tmpl w:val="FFFFFFFF"/>
    <w:lvl w:ilvl="0" w:tplc="33DCFF12">
      <w:start w:val="1"/>
      <w:numFmt w:val="bullet"/>
      <w:lvlText w:val=""/>
      <w:lvlJc w:val="left"/>
      <w:pPr>
        <w:ind w:left="720" w:hanging="360"/>
      </w:pPr>
      <w:rPr>
        <w:rFonts w:hint="default" w:ascii="Symbol" w:hAnsi="Symbol"/>
      </w:rPr>
    </w:lvl>
    <w:lvl w:ilvl="1" w:tplc="08781F28">
      <w:start w:val="1"/>
      <w:numFmt w:val="bullet"/>
      <w:lvlText w:val="o"/>
      <w:lvlJc w:val="left"/>
      <w:pPr>
        <w:ind w:left="1440" w:hanging="360"/>
      </w:pPr>
      <w:rPr>
        <w:rFonts w:hint="default" w:ascii="Courier New" w:hAnsi="Courier New"/>
      </w:rPr>
    </w:lvl>
    <w:lvl w:ilvl="2" w:tplc="9738E342">
      <w:start w:val="1"/>
      <w:numFmt w:val="bullet"/>
      <w:lvlText w:val=""/>
      <w:lvlJc w:val="left"/>
      <w:pPr>
        <w:ind w:left="2160" w:hanging="360"/>
      </w:pPr>
      <w:rPr>
        <w:rFonts w:hint="default" w:ascii="Wingdings" w:hAnsi="Wingdings"/>
      </w:rPr>
    </w:lvl>
    <w:lvl w:ilvl="3" w:tplc="096815F0">
      <w:start w:val="1"/>
      <w:numFmt w:val="bullet"/>
      <w:lvlText w:val=""/>
      <w:lvlJc w:val="left"/>
      <w:pPr>
        <w:ind w:left="2880" w:hanging="360"/>
      </w:pPr>
      <w:rPr>
        <w:rFonts w:hint="default" w:ascii="Symbol" w:hAnsi="Symbol"/>
      </w:rPr>
    </w:lvl>
    <w:lvl w:ilvl="4" w:tplc="D584BD82">
      <w:start w:val="1"/>
      <w:numFmt w:val="bullet"/>
      <w:lvlText w:val="o"/>
      <w:lvlJc w:val="left"/>
      <w:pPr>
        <w:ind w:left="3600" w:hanging="360"/>
      </w:pPr>
      <w:rPr>
        <w:rFonts w:hint="default" w:ascii="Courier New" w:hAnsi="Courier New"/>
      </w:rPr>
    </w:lvl>
    <w:lvl w:ilvl="5" w:tplc="AC36024C">
      <w:start w:val="1"/>
      <w:numFmt w:val="bullet"/>
      <w:lvlText w:val=""/>
      <w:lvlJc w:val="left"/>
      <w:pPr>
        <w:ind w:left="4320" w:hanging="360"/>
      </w:pPr>
      <w:rPr>
        <w:rFonts w:hint="default" w:ascii="Wingdings" w:hAnsi="Wingdings"/>
      </w:rPr>
    </w:lvl>
    <w:lvl w:ilvl="6" w:tplc="582C07A2">
      <w:start w:val="1"/>
      <w:numFmt w:val="bullet"/>
      <w:lvlText w:val=""/>
      <w:lvlJc w:val="left"/>
      <w:pPr>
        <w:ind w:left="5040" w:hanging="360"/>
      </w:pPr>
      <w:rPr>
        <w:rFonts w:hint="default" w:ascii="Symbol" w:hAnsi="Symbol"/>
      </w:rPr>
    </w:lvl>
    <w:lvl w:ilvl="7" w:tplc="18D4FA42">
      <w:start w:val="1"/>
      <w:numFmt w:val="bullet"/>
      <w:lvlText w:val="o"/>
      <w:lvlJc w:val="left"/>
      <w:pPr>
        <w:ind w:left="5760" w:hanging="360"/>
      </w:pPr>
      <w:rPr>
        <w:rFonts w:hint="default" w:ascii="Courier New" w:hAnsi="Courier New"/>
      </w:rPr>
    </w:lvl>
    <w:lvl w:ilvl="8" w:tplc="62FE0D68">
      <w:start w:val="1"/>
      <w:numFmt w:val="bullet"/>
      <w:lvlText w:val=""/>
      <w:lvlJc w:val="left"/>
      <w:pPr>
        <w:ind w:left="6480" w:hanging="360"/>
      </w:pPr>
      <w:rPr>
        <w:rFonts w:hint="default" w:ascii="Wingdings" w:hAnsi="Wingdings"/>
      </w:rPr>
    </w:lvl>
  </w:abstractNum>
  <w:abstractNum w:abstractNumId="11" w15:restartNumberingAfterBreak="0">
    <w:nsid w:val="16D215E6"/>
    <w:multiLevelType w:val="hybridMultilevel"/>
    <w:tmpl w:val="FFFFFFFF"/>
    <w:lvl w:ilvl="0" w:tplc="F120FF62">
      <w:start w:val="1"/>
      <w:numFmt w:val="decimal"/>
      <w:lvlText w:val="%1."/>
      <w:lvlJc w:val="left"/>
      <w:pPr>
        <w:ind w:left="720" w:hanging="360"/>
      </w:pPr>
    </w:lvl>
    <w:lvl w:ilvl="1" w:tplc="00EEE4DC">
      <w:start w:val="1"/>
      <w:numFmt w:val="lowerLetter"/>
      <w:lvlText w:val="%2."/>
      <w:lvlJc w:val="left"/>
      <w:pPr>
        <w:ind w:left="1440" w:hanging="360"/>
      </w:pPr>
    </w:lvl>
    <w:lvl w:ilvl="2" w:tplc="827A25CC">
      <w:start w:val="1"/>
      <w:numFmt w:val="lowerRoman"/>
      <w:lvlText w:val="%3."/>
      <w:lvlJc w:val="right"/>
      <w:pPr>
        <w:ind w:left="2160" w:hanging="180"/>
      </w:pPr>
    </w:lvl>
    <w:lvl w:ilvl="3" w:tplc="867E3456">
      <w:start w:val="1"/>
      <w:numFmt w:val="decimal"/>
      <w:lvlText w:val="%4."/>
      <w:lvlJc w:val="left"/>
      <w:pPr>
        <w:ind w:left="2880" w:hanging="360"/>
      </w:pPr>
    </w:lvl>
    <w:lvl w:ilvl="4" w:tplc="339A0E00">
      <w:start w:val="1"/>
      <w:numFmt w:val="lowerLetter"/>
      <w:lvlText w:val="%5."/>
      <w:lvlJc w:val="left"/>
      <w:pPr>
        <w:ind w:left="3600" w:hanging="360"/>
      </w:pPr>
    </w:lvl>
    <w:lvl w:ilvl="5" w:tplc="522CF8CC">
      <w:start w:val="1"/>
      <w:numFmt w:val="lowerRoman"/>
      <w:lvlText w:val="%6."/>
      <w:lvlJc w:val="right"/>
      <w:pPr>
        <w:ind w:left="4320" w:hanging="180"/>
      </w:pPr>
    </w:lvl>
    <w:lvl w:ilvl="6" w:tplc="76DE9C14">
      <w:start w:val="1"/>
      <w:numFmt w:val="decimal"/>
      <w:lvlText w:val="%7."/>
      <w:lvlJc w:val="left"/>
      <w:pPr>
        <w:ind w:left="5040" w:hanging="360"/>
      </w:pPr>
    </w:lvl>
    <w:lvl w:ilvl="7" w:tplc="4B324800">
      <w:start w:val="1"/>
      <w:numFmt w:val="lowerLetter"/>
      <w:lvlText w:val="%8."/>
      <w:lvlJc w:val="left"/>
      <w:pPr>
        <w:ind w:left="5760" w:hanging="360"/>
      </w:pPr>
    </w:lvl>
    <w:lvl w:ilvl="8" w:tplc="8464681E">
      <w:start w:val="1"/>
      <w:numFmt w:val="lowerRoman"/>
      <w:lvlText w:val="%9."/>
      <w:lvlJc w:val="right"/>
      <w:pPr>
        <w:ind w:left="6480" w:hanging="180"/>
      </w:pPr>
    </w:lvl>
  </w:abstractNum>
  <w:abstractNum w:abstractNumId="12"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1B013663"/>
    <w:multiLevelType w:val="hybridMultilevel"/>
    <w:tmpl w:val="FFFFFFFF"/>
    <w:lvl w:ilvl="0" w:tplc="2F041CD4">
      <w:start w:val="1"/>
      <w:numFmt w:val="bullet"/>
      <w:lvlText w:val=""/>
      <w:lvlJc w:val="left"/>
      <w:pPr>
        <w:ind w:left="720" w:hanging="360"/>
      </w:pPr>
      <w:rPr>
        <w:rFonts w:hint="default" w:ascii="Symbol" w:hAnsi="Symbol"/>
      </w:rPr>
    </w:lvl>
    <w:lvl w:ilvl="1" w:tplc="431CE83C">
      <w:start w:val="1"/>
      <w:numFmt w:val="bullet"/>
      <w:lvlText w:val="o"/>
      <w:lvlJc w:val="left"/>
      <w:pPr>
        <w:ind w:left="1440" w:hanging="360"/>
      </w:pPr>
      <w:rPr>
        <w:rFonts w:hint="default" w:ascii="Courier New" w:hAnsi="Courier New"/>
      </w:rPr>
    </w:lvl>
    <w:lvl w:ilvl="2" w:tplc="07EAFDCE">
      <w:start w:val="1"/>
      <w:numFmt w:val="bullet"/>
      <w:lvlText w:val=""/>
      <w:lvlJc w:val="left"/>
      <w:pPr>
        <w:ind w:left="2160" w:hanging="360"/>
      </w:pPr>
      <w:rPr>
        <w:rFonts w:hint="default" w:ascii="Wingdings" w:hAnsi="Wingdings"/>
      </w:rPr>
    </w:lvl>
    <w:lvl w:ilvl="3" w:tplc="6E82D47C">
      <w:start w:val="1"/>
      <w:numFmt w:val="bullet"/>
      <w:lvlText w:val=""/>
      <w:lvlJc w:val="left"/>
      <w:pPr>
        <w:ind w:left="2880" w:hanging="360"/>
      </w:pPr>
      <w:rPr>
        <w:rFonts w:hint="default" w:ascii="Symbol" w:hAnsi="Symbol"/>
      </w:rPr>
    </w:lvl>
    <w:lvl w:ilvl="4" w:tplc="372E3DAE">
      <w:start w:val="1"/>
      <w:numFmt w:val="bullet"/>
      <w:lvlText w:val="o"/>
      <w:lvlJc w:val="left"/>
      <w:pPr>
        <w:ind w:left="3600" w:hanging="360"/>
      </w:pPr>
      <w:rPr>
        <w:rFonts w:hint="default" w:ascii="Courier New" w:hAnsi="Courier New"/>
      </w:rPr>
    </w:lvl>
    <w:lvl w:ilvl="5" w:tplc="97B21F06">
      <w:start w:val="1"/>
      <w:numFmt w:val="bullet"/>
      <w:lvlText w:val=""/>
      <w:lvlJc w:val="left"/>
      <w:pPr>
        <w:ind w:left="4320" w:hanging="360"/>
      </w:pPr>
      <w:rPr>
        <w:rFonts w:hint="default" w:ascii="Wingdings" w:hAnsi="Wingdings"/>
      </w:rPr>
    </w:lvl>
    <w:lvl w:ilvl="6" w:tplc="7EEA58B6">
      <w:start w:val="1"/>
      <w:numFmt w:val="bullet"/>
      <w:lvlText w:val=""/>
      <w:lvlJc w:val="left"/>
      <w:pPr>
        <w:ind w:left="5040" w:hanging="360"/>
      </w:pPr>
      <w:rPr>
        <w:rFonts w:hint="default" w:ascii="Symbol" w:hAnsi="Symbol"/>
      </w:rPr>
    </w:lvl>
    <w:lvl w:ilvl="7" w:tplc="BF8E3D9E">
      <w:start w:val="1"/>
      <w:numFmt w:val="bullet"/>
      <w:lvlText w:val="o"/>
      <w:lvlJc w:val="left"/>
      <w:pPr>
        <w:ind w:left="5760" w:hanging="360"/>
      </w:pPr>
      <w:rPr>
        <w:rFonts w:hint="default" w:ascii="Courier New" w:hAnsi="Courier New"/>
      </w:rPr>
    </w:lvl>
    <w:lvl w:ilvl="8" w:tplc="62C45270">
      <w:start w:val="1"/>
      <w:numFmt w:val="bullet"/>
      <w:lvlText w:val=""/>
      <w:lvlJc w:val="left"/>
      <w:pPr>
        <w:ind w:left="6480" w:hanging="360"/>
      </w:pPr>
      <w:rPr>
        <w:rFonts w:hint="default" w:ascii="Wingdings" w:hAnsi="Wingdings"/>
      </w:rPr>
    </w:lvl>
  </w:abstractNum>
  <w:abstractNum w:abstractNumId="14" w15:restartNumberingAfterBreak="0">
    <w:nsid w:val="1B21F247"/>
    <w:multiLevelType w:val="hybridMultilevel"/>
    <w:tmpl w:val="FFFFFFFF"/>
    <w:lvl w:ilvl="0" w:tplc="B922DAE2">
      <w:start w:val="1"/>
      <w:numFmt w:val="bullet"/>
      <w:lvlText w:val=""/>
      <w:lvlJc w:val="left"/>
      <w:pPr>
        <w:ind w:left="720" w:hanging="360"/>
      </w:pPr>
      <w:rPr>
        <w:rFonts w:hint="default" w:ascii="Symbol" w:hAnsi="Symbol"/>
      </w:rPr>
    </w:lvl>
    <w:lvl w:ilvl="1" w:tplc="B55643C4">
      <w:start w:val="1"/>
      <w:numFmt w:val="bullet"/>
      <w:lvlText w:val="o"/>
      <w:lvlJc w:val="left"/>
      <w:pPr>
        <w:ind w:left="1440" w:hanging="360"/>
      </w:pPr>
      <w:rPr>
        <w:rFonts w:hint="default" w:ascii="Courier New" w:hAnsi="Courier New"/>
      </w:rPr>
    </w:lvl>
    <w:lvl w:ilvl="2" w:tplc="35D0E60C">
      <w:start w:val="1"/>
      <w:numFmt w:val="bullet"/>
      <w:lvlText w:val=""/>
      <w:lvlJc w:val="left"/>
      <w:pPr>
        <w:ind w:left="2160" w:hanging="360"/>
      </w:pPr>
      <w:rPr>
        <w:rFonts w:hint="default" w:ascii="Wingdings" w:hAnsi="Wingdings"/>
      </w:rPr>
    </w:lvl>
    <w:lvl w:ilvl="3" w:tplc="F6A4B5F4">
      <w:start w:val="1"/>
      <w:numFmt w:val="bullet"/>
      <w:lvlText w:val=""/>
      <w:lvlJc w:val="left"/>
      <w:pPr>
        <w:ind w:left="2880" w:hanging="360"/>
      </w:pPr>
      <w:rPr>
        <w:rFonts w:hint="default" w:ascii="Symbol" w:hAnsi="Symbol"/>
      </w:rPr>
    </w:lvl>
    <w:lvl w:ilvl="4" w:tplc="D408F6CC">
      <w:start w:val="1"/>
      <w:numFmt w:val="bullet"/>
      <w:lvlText w:val="o"/>
      <w:lvlJc w:val="left"/>
      <w:pPr>
        <w:ind w:left="3600" w:hanging="360"/>
      </w:pPr>
      <w:rPr>
        <w:rFonts w:hint="default" w:ascii="Courier New" w:hAnsi="Courier New"/>
      </w:rPr>
    </w:lvl>
    <w:lvl w:ilvl="5" w:tplc="A63CF350">
      <w:start w:val="1"/>
      <w:numFmt w:val="bullet"/>
      <w:lvlText w:val=""/>
      <w:lvlJc w:val="left"/>
      <w:pPr>
        <w:ind w:left="4320" w:hanging="360"/>
      </w:pPr>
      <w:rPr>
        <w:rFonts w:hint="default" w:ascii="Wingdings" w:hAnsi="Wingdings"/>
      </w:rPr>
    </w:lvl>
    <w:lvl w:ilvl="6" w:tplc="E7986524">
      <w:start w:val="1"/>
      <w:numFmt w:val="bullet"/>
      <w:lvlText w:val=""/>
      <w:lvlJc w:val="left"/>
      <w:pPr>
        <w:ind w:left="5040" w:hanging="360"/>
      </w:pPr>
      <w:rPr>
        <w:rFonts w:hint="default" w:ascii="Symbol" w:hAnsi="Symbol"/>
      </w:rPr>
    </w:lvl>
    <w:lvl w:ilvl="7" w:tplc="A5703326">
      <w:start w:val="1"/>
      <w:numFmt w:val="bullet"/>
      <w:lvlText w:val="o"/>
      <w:lvlJc w:val="left"/>
      <w:pPr>
        <w:ind w:left="5760" w:hanging="360"/>
      </w:pPr>
      <w:rPr>
        <w:rFonts w:hint="default" w:ascii="Courier New" w:hAnsi="Courier New"/>
      </w:rPr>
    </w:lvl>
    <w:lvl w:ilvl="8" w:tplc="9D040BE0">
      <w:start w:val="1"/>
      <w:numFmt w:val="bullet"/>
      <w:lvlText w:val=""/>
      <w:lvlJc w:val="left"/>
      <w:pPr>
        <w:ind w:left="6480" w:hanging="360"/>
      </w:pPr>
      <w:rPr>
        <w:rFonts w:hint="default" w:ascii="Wingdings" w:hAnsi="Wingdings"/>
      </w:rPr>
    </w:lvl>
  </w:abstractNum>
  <w:abstractNum w:abstractNumId="15" w15:restartNumberingAfterBreak="0">
    <w:nsid w:val="202EDF67"/>
    <w:multiLevelType w:val="hybridMultilevel"/>
    <w:tmpl w:val="AF5039CA"/>
    <w:lvl w:ilvl="0" w:tplc="63AC1876">
      <w:start w:val="1"/>
      <w:numFmt w:val="bullet"/>
      <w:lvlText w:val=""/>
      <w:lvlJc w:val="left"/>
      <w:pPr>
        <w:ind w:left="720" w:hanging="360"/>
      </w:pPr>
      <w:rPr>
        <w:rFonts w:hint="default" w:ascii="Symbol" w:hAnsi="Symbol"/>
      </w:rPr>
    </w:lvl>
    <w:lvl w:ilvl="1" w:tplc="BE7C5092">
      <w:start w:val="1"/>
      <w:numFmt w:val="bullet"/>
      <w:lvlText w:val=""/>
      <w:lvlJc w:val="left"/>
      <w:pPr>
        <w:ind w:left="1440" w:hanging="360"/>
      </w:pPr>
      <w:rPr>
        <w:rFonts w:hint="default" w:ascii="Symbol" w:hAnsi="Symbol"/>
      </w:rPr>
    </w:lvl>
    <w:lvl w:ilvl="2" w:tplc="421C772E">
      <w:start w:val="1"/>
      <w:numFmt w:val="bullet"/>
      <w:lvlText w:val=""/>
      <w:lvlJc w:val="left"/>
      <w:pPr>
        <w:ind w:left="2160" w:hanging="360"/>
      </w:pPr>
      <w:rPr>
        <w:rFonts w:hint="default" w:ascii="Wingdings" w:hAnsi="Wingdings"/>
      </w:rPr>
    </w:lvl>
    <w:lvl w:ilvl="3" w:tplc="99724662">
      <w:start w:val="1"/>
      <w:numFmt w:val="bullet"/>
      <w:lvlText w:val=""/>
      <w:lvlJc w:val="left"/>
      <w:pPr>
        <w:ind w:left="2880" w:hanging="360"/>
      </w:pPr>
      <w:rPr>
        <w:rFonts w:hint="default" w:ascii="Symbol" w:hAnsi="Symbol"/>
      </w:rPr>
    </w:lvl>
    <w:lvl w:ilvl="4" w:tplc="A0C8B850">
      <w:start w:val="1"/>
      <w:numFmt w:val="bullet"/>
      <w:lvlText w:val="o"/>
      <w:lvlJc w:val="left"/>
      <w:pPr>
        <w:ind w:left="3600" w:hanging="360"/>
      </w:pPr>
      <w:rPr>
        <w:rFonts w:hint="default" w:ascii="Courier New" w:hAnsi="Courier New"/>
      </w:rPr>
    </w:lvl>
    <w:lvl w:ilvl="5" w:tplc="538C830E">
      <w:start w:val="1"/>
      <w:numFmt w:val="bullet"/>
      <w:lvlText w:val=""/>
      <w:lvlJc w:val="left"/>
      <w:pPr>
        <w:ind w:left="4320" w:hanging="360"/>
      </w:pPr>
      <w:rPr>
        <w:rFonts w:hint="default" w:ascii="Wingdings" w:hAnsi="Wingdings"/>
      </w:rPr>
    </w:lvl>
    <w:lvl w:ilvl="6" w:tplc="53427FE8">
      <w:start w:val="1"/>
      <w:numFmt w:val="bullet"/>
      <w:lvlText w:val=""/>
      <w:lvlJc w:val="left"/>
      <w:pPr>
        <w:ind w:left="5040" w:hanging="360"/>
      </w:pPr>
      <w:rPr>
        <w:rFonts w:hint="default" w:ascii="Symbol" w:hAnsi="Symbol"/>
      </w:rPr>
    </w:lvl>
    <w:lvl w:ilvl="7" w:tplc="8CEA54F0">
      <w:start w:val="1"/>
      <w:numFmt w:val="bullet"/>
      <w:lvlText w:val="o"/>
      <w:lvlJc w:val="left"/>
      <w:pPr>
        <w:ind w:left="5760" w:hanging="360"/>
      </w:pPr>
      <w:rPr>
        <w:rFonts w:hint="default" w:ascii="Courier New" w:hAnsi="Courier New"/>
      </w:rPr>
    </w:lvl>
    <w:lvl w:ilvl="8" w:tplc="EF4018DC">
      <w:start w:val="1"/>
      <w:numFmt w:val="bullet"/>
      <w:lvlText w:val=""/>
      <w:lvlJc w:val="left"/>
      <w:pPr>
        <w:ind w:left="6480" w:hanging="360"/>
      </w:pPr>
      <w:rPr>
        <w:rFonts w:hint="default" w:ascii="Wingdings" w:hAnsi="Wingdings"/>
      </w:rPr>
    </w:lvl>
  </w:abstractNum>
  <w:abstractNum w:abstractNumId="16" w15:restartNumberingAfterBreak="0">
    <w:nsid w:val="225101BF"/>
    <w:multiLevelType w:val="hybridMultilevel"/>
    <w:tmpl w:val="FFFFFFFF"/>
    <w:lvl w:ilvl="0" w:tplc="AC1ACD84">
      <w:start w:val="1"/>
      <w:numFmt w:val="decimal"/>
      <w:lvlText w:val="%1."/>
      <w:lvlJc w:val="left"/>
      <w:pPr>
        <w:ind w:left="720" w:hanging="360"/>
      </w:pPr>
    </w:lvl>
    <w:lvl w:ilvl="1" w:tplc="DE5CF156">
      <w:start w:val="1"/>
      <w:numFmt w:val="lowerLetter"/>
      <w:lvlText w:val="%2."/>
      <w:lvlJc w:val="left"/>
      <w:pPr>
        <w:ind w:left="1440" w:hanging="360"/>
      </w:pPr>
    </w:lvl>
    <w:lvl w:ilvl="2" w:tplc="F886C8E6">
      <w:start w:val="1"/>
      <w:numFmt w:val="lowerRoman"/>
      <w:lvlText w:val="%3."/>
      <w:lvlJc w:val="right"/>
      <w:pPr>
        <w:ind w:left="2160" w:hanging="180"/>
      </w:pPr>
    </w:lvl>
    <w:lvl w:ilvl="3" w:tplc="A7D4084C">
      <w:start w:val="1"/>
      <w:numFmt w:val="decimal"/>
      <w:lvlText w:val="%4."/>
      <w:lvlJc w:val="left"/>
      <w:pPr>
        <w:ind w:left="2880" w:hanging="360"/>
      </w:pPr>
    </w:lvl>
    <w:lvl w:ilvl="4" w:tplc="C5A28ABE">
      <w:start w:val="1"/>
      <w:numFmt w:val="lowerLetter"/>
      <w:lvlText w:val="%5."/>
      <w:lvlJc w:val="left"/>
      <w:pPr>
        <w:ind w:left="3600" w:hanging="360"/>
      </w:pPr>
    </w:lvl>
    <w:lvl w:ilvl="5" w:tplc="3132CE3E">
      <w:start w:val="1"/>
      <w:numFmt w:val="lowerRoman"/>
      <w:lvlText w:val="%6."/>
      <w:lvlJc w:val="right"/>
      <w:pPr>
        <w:ind w:left="4320" w:hanging="180"/>
      </w:pPr>
    </w:lvl>
    <w:lvl w:ilvl="6" w:tplc="BBA4F0F4">
      <w:start w:val="1"/>
      <w:numFmt w:val="decimal"/>
      <w:lvlText w:val="%7."/>
      <w:lvlJc w:val="left"/>
      <w:pPr>
        <w:ind w:left="5040" w:hanging="360"/>
      </w:pPr>
    </w:lvl>
    <w:lvl w:ilvl="7" w:tplc="41BAFC10">
      <w:start w:val="1"/>
      <w:numFmt w:val="lowerLetter"/>
      <w:lvlText w:val="%8."/>
      <w:lvlJc w:val="left"/>
      <w:pPr>
        <w:ind w:left="5760" w:hanging="360"/>
      </w:pPr>
    </w:lvl>
    <w:lvl w:ilvl="8" w:tplc="902C7F52">
      <w:start w:val="1"/>
      <w:numFmt w:val="lowerRoman"/>
      <w:lvlText w:val="%9."/>
      <w:lvlJc w:val="right"/>
      <w:pPr>
        <w:ind w:left="6480" w:hanging="180"/>
      </w:pPr>
    </w:lvl>
  </w:abstractNum>
  <w:abstractNum w:abstractNumId="17" w15:restartNumberingAfterBreak="0">
    <w:nsid w:val="22ED8E38"/>
    <w:multiLevelType w:val="hybridMultilevel"/>
    <w:tmpl w:val="1772BEA2"/>
    <w:lvl w:ilvl="0" w:tplc="D96455BE">
      <w:start w:val="1"/>
      <w:numFmt w:val="bullet"/>
      <w:lvlText w:val=""/>
      <w:lvlJc w:val="left"/>
      <w:pPr>
        <w:ind w:left="720" w:hanging="360"/>
      </w:pPr>
      <w:rPr>
        <w:rFonts w:hint="default" w:ascii="Symbol" w:hAnsi="Symbol"/>
      </w:rPr>
    </w:lvl>
    <w:lvl w:ilvl="1" w:tplc="BB6248C4">
      <w:start w:val="1"/>
      <w:numFmt w:val="bullet"/>
      <w:lvlText w:val="o"/>
      <w:lvlJc w:val="left"/>
      <w:pPr>
        <w:ind w:left="1440" w:hanging="360"/>
      </w:pPr>
      <w:rPr>
        <w:rFonts w:hint="default" w:ascii="Courier New" w:hAnsi="Courier New"/>
      </w:rPr>
    </w:lvl>
    <w:lvl w:ilvl="2" w:tplc="03922FBC">
      <w:start w:val="1"/>
      <w:numFmt w:val="bullet"/>
      <w:lvlText w:val=""/>
      <w:lvlJc w:val="left"/>
      <w:pPr>
        <w:ind w:left="2160" w:hanging="360"/>
      </w:pPr>
      <w:rPr>
        <w:rFonts w:hint="default" w:ascii="Wingdings" w:hAnsi="Wingdings"/>
      </w:rPr>
    </w:lvl>
    <w:lvl w:ilvl="3" w:tplc="99D86816">
      <w:start w:val="1"/>
      <w:numFmt w:val="bullet"/>
      <w:lvlText w:val=""/>
      <w:lvlJc w:val="left"/>
      <w:pPr>
        <w:ind w:left="2880" w:hanging="360"/>
      </w:pPr>
      <w:rPr>
        <w:rFonts w:hint="default" w:ascii="Symbol" w:hAnsi="Symbol"/>
      </w:rPr>
    </w:lvl>
    <w:lvl w:ilvl="4" w:tplc="85CA3476">
      <w:start w:val="1"/>
      <w:numFmt w:val="bullet"/>
      <w:lvlText w:val="o"/>
      <w:lvlJc w:val="left"/>
      <w:pPr>
        <w:ind w:left="3600" w:hanging="360"/>
      </w:pPr>
      <w:rPr>
        <w:rFonts w:hint="default" w:ascii="Courier New" w:hAnsi="Courier New"/>
      </w:rPr>
    </w:lvl>
    <w:lvl w:ilvl="5" w:tplc="1AF22554">
      <w:start w:val="1"/>
      <w:numFmt w:val="bullet"/>
      <w:lvlText w:val=""/>
      <w:lvlJc w:val="left"/>
      <w:pPr>
        <w:ind w:left="4320" w:hanging="360"/>
      </w:pPr>
      <w:rPr>
        <w:rFonts w:hint="default" w:ascii="Wingdings" w:hAnsi="Wingdings"/>
      </w:rPr>
    </w:lvl>
    <w:lvl w:ilvl="6" w:tplc="56E89002">
      <w:start w:val="1"/>
      <w:numFmt w:val="bullet"/>
      <w:lvlText w:val=""/>
      <w:lvlJc w:val="left"/>
      <w:pPr>
        <w:ind w:left="5040" w:hanging="360"/>
      </w:pPr>
      <w:rPr>
        <w:rFonts w:hint="default" w:ascii="Symbol" w:hAnsi="Symbol"/>
      </w:rPr>
    </w:lvl>
    <w:lvl w:ilvl="7" w:tplc="306861CC">
      <w:start w:val="1"/>
      <w:numFmt w:val="bullet"/>
      <w:lvlText w:val="o"/>
      <w:lvlJc w:val="left"/>
      <w:pPr>
        <w:ind w:left="5760" w:hanging="360"/>
      </w:pPr>
      <w:rPr>
        <w:rFonts w:hint="default" w:ascii="Courier New" w:hAnsi="Courier New"/>
      </w:rPr>
    </w:lvl>
    <w:lvl w:ilvl="8" w:tplc="5E6E1950">
      <w:start w:val="1"/>
      <w:numFmt w:val="bullet"/>
      <w:lvlText w:val=""/>
      <w:lvlJc w:val="left"/>
      <w:pPr>
        <w:ind w:left="6480" w:hanging="360"/>
      </w:pPr>
      <w:rPr>
        <w:rFonts w:hint="default" w:ascii="Wingdings" w:hAnsi="Wingdings"/>
      </w:rPr>
    </w:lvl>
  </w:abstractNum>
  <w:abstractNum w:abstractNumId="18" w15:restartNumberingAfterBreak="0">
    <w:nsid w:val="23AA59C5"/>
    <w:multiLevelType w:val="multilevel"/>
    <w:tmpl w:val="29449EC2"/>
    <w:lvl w:ilvl="0">
      <w:start w:val="1"/>
      <w:numFmt w:val="lowerLetter"/>
      <w:pStyle w:val="NoteNumbered"/>
      <w:lvlText w:val="%1)"/>
      <w:lvlJc w:val="left"/>
      <w:pPr>
        <w:ind w:left="227" w:hanging="227"/>
      </w:pPr>
      <w:rPr>
        <w:rFonts w:hint="default"/>
      </w:rPr>
    </w:lvl>
    <w:lvl w:ilvl="1">
      <w:start w:val="1"/>
      <w:numFmt w:val="bullet"/>
      <w:lvlText w:val="–"/>
      <w:lvlJc w:val="left"/>
      <w:pPr>
        <w:ind w:left="511" w:hanging="227"/>
      </w:pPr>
      <w:rPr>
        <w:rFonts w:hint="default" w:ascii="Circular Std Book" w:hAnsi="Circular Std Book"/>
        <w:color w:val="auto"/>
      </w:rPr>
    </w:lvl>
    <w:lvl w:ilvl="2">
      <w:start w:val="1"/>
      <w:numFmt w:val="lowerRoman"/>
      <w:lvlText w:val="%3."/>
      <w:lvlJc w:val="right"/>
      <w:pPr>
        <w:ind w:left="795" w:hanging="227"/>
      </w:pPr>
      <w:rPr>
        <w:rFonts w:hint="default"/>
      </w:rPr>
    </w:lvl>
    <w:lvl w:ilvl="3">
      <w:start w:val="1"/>
      <w:numFmt w:val="decimal"/>
      <w:lvlText w:val="%4."/>
      <w:lvlJc w:val="left"/>
      <w:pPr>
        <w:ind w:left="1079" w:hanging="227"/>
      </w:pPr>
      <w:rPr>
        <w:rFonts w:hint="default"/>
      </w:rPr>
    </w:lvl>
    <w:lvl w:ilvl="4">
      <w:start w:val="1"/>
      <w:numFmt w:val="lowerLetter"/>
      <w:lvlText w:val="%5."/>
      <w:lvlJc w:val="left"/>
      <w:pPr>
        <w:ind w:left="1363" w:hanging="227"/>
      </w:pPr>
      <w:rPr>
        <w:rFonts w:hint="default"/>
      </w:rPr>
    </w:lvl>
    <w:lvl w:ilvl="5">
      <w:start w:val="1"/>
      <w:numFmt w:val="lowerRoman"/>
      <w:lvlText w:val="%6."/>
      <w:lvlJc w:val="right"/>
      <w:pPr>
        <w:ind w:left="1647" w:hanging="227"/>
      </w:pPr>
      <w:rPr>
        <w:rFonts w:hint="default"/>
      </w:rPr>
    </w:lvl>
    <w:lvl w:ilvl="6">
      <w:start w:val="1"/>
      <w:numFmt w:val="decimal"/>
      <w:lvlText w:val="%7."/>
      <w:lvlJc w:val="left"/>
      <w:pPr>
        <w:ind w:left="1931" w:hanging="227"/>
      </w:pPr>
      <w:rPr>
        <w:rFonts w:hint="default"/>
      </w:rPr>
    </w:lvl>
    <w:lvl w:ilvl="7">
      <w:start w:val="1"/>
      <w:numFmt w:val="lowerLetter"/>
      <w:lvlText w:val="%8."/>
      <w:lvlJc w:val="left"/>
      <w:pPr>
        <w:ind w:left="2215" w:hanging="227"/>
      </w:pPr>
      <w:rPr>
        <w:rFonts w:hint="default"/>
      </w:rPr>
    </w:lvl>
    <w:lvl w:ilvl="8">
      <w:start w:val="1"/>
      <w:numFmt w:val="lowerRoman"/>
      <w:lvlText w:val="%9."/>
      <w:lvlJc w:val="right"/>
      <w:pPr>
        <w:ind w:left="2499" w:hanging="227"/>
      </w:pPr>
      <w:rPr>
        <w:rFonts w:hint="default"/>
      </w:rPr>
    </w:lvl>
  </w:abstractNum>
  <w:abstractNum w:abstractNumId="19"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hint="default" w:ascii="Symbol" w:hAnsi="Symbol"/>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hint="default" w:ascii="Wingdings" w:hAnsi="Wingdings"/>
        <w:position w:val="3"/>
        <w:sz w:val="12"/>
      </w:rPr>
    </w:lvl>
    <w:lvl w:ilvl="1">
      <w:start w:val="1"/>
      <w:numFmt w:val="bullet"/>
      <w:lvlText w:val=""/>
      <w:lvlJc w:val="left"/>
      <w:pPr>
        <w:tabs>
          <w:tab w:val="num" w:pos="680"/>
        </w:tabs>
        <w:ind w:left="680" w:hanging="226"/>
      </w:pPr>
      <w:rPr>
        <w:rFonts w:hint="default" w:ascii="Symbol" w:hAnsi="Symbol"/>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2F72F3A4"/>
    <w:multiLevelType w:val="hybridMultilevel"/>
    <w:tmpl w:val="FFFFFFFF"/>
    <w:lvl w:ilvl="0" w:tplc="8AA4441C">
      <w:start w:val="1"/>
      <w:numFmt w:val="bullet"/>
      <w:lvlText w:val=""/>
      <w:lvlJc w:val="left"/>
      <w:pPr>
        <w:ind w:left="720" w:hanging="360"/>
      </w:pPr>
      <w:rPr>
        <w:rFonts w:hint="default" w:ascii="Symbol" w:hAnsi="Symbol"/>
      </w:rPr>
    </w:lvl>
    <w:lvl w:ilvl="1" w:tplc="357EA5EE">
      <w:start w:val="1"/>
      <w:numFmt w:val="bullet"/>
      <w:lvlText w:val="o"/>
      <w:lvlJc w:val="left"/>
      <w:pPr>
        <w:ind w:left="1440" w:hanging="360"/>
      </w:pPr>
      <w:rPr>
        <w:rFonts w:hint="default" w:ascii="Courier New" w:hAnsi="Courier New"/>
      </w:rPr>
    </w:lvl>
    <w:lvl w:ilvl="2" w:tplc="43FC8DCA">
      <w:start w:val="1"/>
      <w:numFmt w:val="bullet"/>
      <w:lvlText w:val=""/>
      <w:lvlJc w:val="left"/>
      <w:pPr>
        <w:ind w:left="2160" w:hanging="360"/>
      </w:pPr>
      <w:rPr>
        <w:rFonts w:hint="default" w:ascii="Wingdings" w:hAnsi="Wingdings"/>
      </w:rPr>
    </w:lvl>
    <w:lvl w:ilvl="3" w:tplc="0F64ECA8">
      <w:start w:val="1"/>
      <w:numFmt w:val="bullet"/>
      <w:lvlText w:val=""/>
      <w:lvlJc w:val="left"/>
      <w:pPr>
        <w:ind w:left="2880" w:hanging="360"/>
      </w:pPr>
      <w:rPr>
        <w:rFonts w:hint="default" w:ascii="Symbol" w:hAnsi="Symbol"/>
      </w:rPr>
    </w:lvl>
    <w:lvl w:ilvl="4" w:tplc="68528692">
      <w:start w:val="1"/>
      <w:numFmt w:val="bullet"/>
      <w:lvlText w:val="o"/>
      <w:lvlJc w:val="left"/>
      <w:pPr>
        <w:ind w:left="3600" w:hanging="360"/>
      </w:pPr>
      <w:rPr>
        <w:rFonts w:hint="default" w:ascii="Courier New" w:hAnsi="Courier New"/>
      </w:rPr>
    </w:lvl>
    <w:lvl w:ilvl="5" w:tplc="34A88F88">
      <w:start w:val="1"/>
      <w:numFmt w:val="bullet"/>
      <w:lvlText w:val=""/>
      <w:lvlJc w:val="left"/>
      <w:pPr>
        <w:ind w:left="4320" w:hanging="360"/>
      </w:pPr>
      <w:rPr>
        <w:rFonts w:hint="default" w:ascii="Wingdings" w:hAnsi="Wingdings"/>
      </w:rPr>
    </w:lvl>
    <w:lvl w:ilvl="6" w:tplc="EA8CC500">
      <w:start w:val="1"/>
      <w:numFmt w:val="bullet"/>
      <w:lvlText w:val=""/>
      <w:lvlJc w:val="left"/>
      <w:pPr>
        <w:ind w:left="5040" w:hanging="360"/>
      </w:pPr>
      <w:rPr>
        <w:rFonts w:hint="default" w:ascii="Symbol" w:hAnsi="Symbol"/>
      </w:rPr>
    </w:lvl>
    <w:lvl w:ilvl="7" w:tplc="3D683B90">
      <w:start w:val="1"/>
      <w:numFmt w:val="bullet"/>
      <w:lvlText w:val="o"/>
      <w:lvlJc w:val="left"/>
      <w:pPr>
        <w:ind w:left="5760" w:hanging="360"/>
      </w:pPr>
      <w:rPr>
        <w:rFonts w:hint="default" w:ascii="Courier New" w:hAnsi="Courier New"/>
      </w:rPr>
    </w:lvl>
    <w:lvl w:ilvl="8" w:tplc="74EC1D10">
      <w:start w:val="1"/>
      <w:numFmt w:val="bullet"/>
      <w:lvlText w:val=""/>
      <w:lvlJc w:val="left"/>
      <w:pPr>
        <w:ind w:left="6480" w:hanging="360"/>
      </w:pPr>
      <w:rPr>
        <w:rFonts w:hint="default" w:ascii="Wingdings" w:hAnsi="Wingdings"/>
      </w:rPr>
    </w:lvl>
  </w:abstractNum>
  <w:abstractNum w:abstractNumId="22" w15:restartNumberingAfterBreak="0">
    <w:nsid w:val="386B2BDC"/>
    <w:multiLevelType w:val="hybridMultilevel"/>
    <w:tmpl w:val="EC9497BE"/>
    <w:name w:val="Bullets"/>
    <w:lvl w:ilvl="0" w:tplc="C1EE5BF8">
      <w:start w:val="1"/>
      <w:numFmt w:val="bullet"/>
      <w:lvlText w:val=""/>
      <w:lvlJc w:val="left"/>
      <w:pPr>
        <w:tabs>
          <w:tab w:val="num" w:pos="170"/>
        </w:tabs>
        <w:ind w:left="170" w:hanging="170"/>
      </w:pPr>
      <w:rPr>
        <w:rFonts w:hint="default" w:ascii="Symbol" w:hAnsi="Symbol"/>
        <w:color w:val="8ACED7" w:themeColor="accent1"/>
        <w:position w:val="2"/>
        <w:sz w:val="20"/>
      </w:rPr>
    </w:lvl>
    <w:lvl w:ilvl="1" w:tplc="94E4951E">
      <w:start w:val="1"/>
      <w:numFmt w:val="bullet"/>
      <w:pStyle w:val="ColorfulShading-Accent2"/>
      <w:lvlText w:val="–"/>
      <w:lvlJc w:val="left"/>
      <w:pPr>
        <w:tabs>
          <w:tab w:val="num" w:pos="340"/>
        </w:tabs>
        <w:ind w:left="340" w:hanging="170"/>
      </w:pPr>
      <w:rPr>
        <w:rFonts w:hint="default" w:ascii="Arial" w:hAnsi="Arial"/>
        <w:color w:val="auto"/>
      </w:rPr>
    </w:lvl>
    <w:lvl w:ilvl="2" w:tplc="1BF25258">
      <w:start w:val="1"/>
      <w:numFmt w:val="bullet"/>
      <w:pStyle w:val="ColorfulShading-Accent3"/>
      <w:lvlText w:val="–"/>
      <w:lvlJc w:val="left"/>
      <w:pPr>
        <w:tabs>
          <w:tab w:val="num" w:pos="510"/>
        </w:tabs>
        <w:ind w:left="510" w:hanging="170"/>
      </w:pPr>
      <w:rPr>
        <w:rFonts w:hint="default" w:ascii="Arial" w:hAnsi="Arial"/>
        <w:color w:val="auto"/>
      </w:rPr>
    </w:lvl>
    <w:lvl w:ilvl="3" w:tplc="81EA754C">
      <w:start w:val="1"/>
      <w:numFmt w:val="bullet"/>
      <w:pStyle w:val="ListBullet4"/>
      <w:lvlText w:val="–"/>
      <w:lvlJc w:val="left"/>
      <w:pPr>
        <w:tabs>
          <w:tab w:val="num" w:pos="680"/>
        </w:tabs>
        <w:ind w:left="680" w:hanging="170"/>
      </w:pPr>
      <w:rPr>
        <w:rFonts w:hint="default" w:ascii="Circular Std Book" w:hAnsi="Circular Std Book"/>
        <w:color w:val="auto"/>
      </w:rPr>
    </w:lvl>
    <w:lvl w:ilvl="4" w:tplc="41CCB6EC">
      <w:start w:val="1"/>
      <w:numFmt w:val="bullet"/>
      <w:pStyle w:val="ListBullet5"/>
      <w:lvlText w:val="–"/>
      <w:lvlJc w:val="left"/>
      <w:pPr>
        <w:tabs>
          <w:tab w:val="num" w:pos="850"/>
        </w:tabs>
        <w:ind w:left="850" w:hanging="170"/>
      </w:pPr>
      <w:rPr>
        <w:rFonts w:hint="default" w:ascii="Circular Std Book" w:hAnsi="Circular Std Book"/>
        <w:color w:val="auto"/>
      </w:rPr>
    </w:lvl>
    <w:lvl w:ilvl="5" w:tplc="2E20CB6E">
      <w:start w:val="1"/>
      <w:numFmt w:val="decimal"/>
      <w:lvlText w:val=""/>
      <w:lvlJc w:val="left"/>
      <w:pPr>
        <w:tabs>
          <w:tab w:val="num" w:pos="1020"/>
        </w:tabs>
        <w:ind w:left="1020" w:hanging="170"/>
      </w:pPr>
    </w:lvl>
    <w:lvl w:ilvl="6" w:tplc="C262BBA0">
      <w:start w:val="1"/>
      <w:numFmt w:val="decimal"/>
      <w:lvlText w:val="%7"/>
      <w:lvlJc w:val="left"/>
      <w:pPr>
        <w:tabs>
          <w:tab w:val="num" w:pos="1190"/>
        </w:tabs>
        <w:ind w:left="1190" w:hanging="170"/>
      </w:pPr>
    </w:lvl>
    <w:lvl w:ilvl="7" w:tplc="78328016">
      <w:start w:val="1"/>
      <w:numFmt w:val="decimal"/>
      <w:lvlText w:val=""/>
      <w:lvlJc w:val="left"/>
      <w:pPr>
        <w:tabs>
          <w:tab w:val="num" w:pos="1360"/>
        </w:tabs>
        <w:ind w:left="1360" w:hanging="170"/>
      </w:pPr>
    </w:lvl>
    <w:lvl w:ilvl="8" w:tplc="53987AD0">
      <w:start w:val="1"/>
      <w:numFmt w:val="decimal"/>
      <w:lvlText w:val=""/>
      <w:lvlJc w:val="left"/>
      <w:pPr>
        <w:tabs>
          <w:tab w:val="num" w:pos="1530"/>
        </w:tabs>
        <w:ind w:left="1530" w:hanging="170"/>
      </w:pPr>
    </w:lvl>
  </w:abstractNum>
  <w:abstractNum w:abstractNumId="23" w15:restartNumberingAfterBreak="0">
    <w:nsid w:val="3B3FAC42"/>
    <w:multiLevelType w:val="hybridMultilevel"/>
    <w:tmpl w:val="FFFFFFFF"/>
    <w:lvl w:ilvl="0" w:tplc="50D0D326">
      <w:start w:val="1"/>
      <w:numFmt w:val="decimal"/>
      <w:lvlText w:val="%1."/>
      <w:lvlJc w:val="left"/>
      <w:pPr>
        <w:ind w:left="720" w:hanging="360"/>
      </w:pPr>
    </w:lvl>
    <w:lvl w:ilvl="1" w:tplc="DE748954">
      <w:start w:val="1"/>
      <w:numFmt w:val="lowerLetter"/>
      <w:lvlText w:val="%2."/>
      <w:lvlJc w:val="left"/>
      <w:pPr>
        <w:ind w:left="1440" w:hanging="360"/>
      </w:pPr>
    </w:lvl>
    <w:lvl w:ilvl="2" w:tplc="E530EA60">
      <w:start w:val="1"/>
      <w:numFmt w:val="lowerRoman"/>
      <w:lvlText w:val="%3."/>
      <w:lvlJc w:val="right"/>
      <w:pPr>
        <w:ind w:left="2160" w:hanging="180"/>
      </w:pPr>
    </w:lvl>
    <w:lvl w:ilvl="3" w:tplc="25102652">
      <w:start w:val="1"/>
      <w:numFmt w:val="decimal"/>
      <w:lvlText w:val="%4."/>
      <w:lvlJc w:val="left"/>
      <w:pPr>
        <w:ind w:left="2880" w:hanging="360"/>
      </w:pPr>
    </w:lvl>
    <w:lvl w:ilvl="4" w:tplc="79F4F046">
      <w:start w:val="1"/>
      <w:numFmt w:val="lowerLetter"/>
      <w:lvlText w:val="%5."/>
      <w:lvlJc w:val="left"/>
      <w:pPr>
        <w:ind w:left="3600" w:hanging="360"/>
      </w:pPr>
    </w:lvl>
    <w:lvl w:ilvl="5" w:tplc="523093D0">
      <w:start w:val="1"/>
      <w:numFmt w:val="lowerRoman"/>
      <w:lvlText w:val="%6."/>
      <w:lvlJc w:val="right"/>
      <w:pPr>
        <w:ind w:left="4320" w:hanging="180"/>
      </w:pPr>
    </w:lvl>
    <w:lvl w:ilvl="6" w:tplc="04767D38">
      <w:start w:val="1"/>
      <w:numFmt w:val="decimal"/>
      <w:lvlText w:val="%7."/>
      <w:lvlJc w:val="left"/>
      <w:pPr>
        <w:ind w:left="5040" w:hanging="360"/>
      </w:pPr>
    </w:lvl>
    <w:lvl w:ilvl="7" w:tplc="5BFC68C2">
      <w:start w:val="1"/>
      <w:numFmt w:val="lowerLetter"/>
      <w:lvlText w:val="%8."/>
      <w:lvlJc w:val="left"/>
      <w:pPr>
        <w:ind w:left="5760" w:hanging="360"/>
      </w:pPr>
    </w:lvl>
    <w:lvl w:ilvl="8" w:tplc="471A2538">
      <w:start w:val="1"/>
      <w:numFmt w:val="lowerRoman"/>
      <w:lvlText w:val="%9."/>
      <w:lvlJc w:val="right"/>
      <w:pPr>
        <w:ind w:left="6480" w:hanging="180"/>
      </w:pPr>
    </w:lvl>
  </w:abstractNum>
  <w:abstractNum w:abstractNumId="24" w15:restartNumberingAfterBreak="0">
    <w:nsid w:val="4307D314"/>
    <w:multiLevelType w:val="hybridMultilevel"/>
    <w:tmpl w:val="FFFFFFFF"/>
    <w:lvl w:ilvl="0" w:tplc="D98C7FD0">
      <w:start w:val="1"/>
      <w:numFmt w:val="bullet"/>
      <w:lvlText w:val=""/>
      <w:lvlJc w:val="left"/>
      <w:pPr>
        <w:ind w:left="720" w:hanging="360"/>
      </w:pPr>
      <w:rPr>
        <w:rFonts w:hint="default" w:ascii="Symbol" w:hAnsi="Symbol"/>
      </w:rPr>
    </w:lvl>
    <w:lvl w:ilvl="1" w:tplc="E41E050A">
      <w:start w:val="1"/>
      <w:numFmt w:val="bullet"/>
      <w:lvlText w:val="o"/>
      <w:lvlJc w:val="left"/>
      <w:pPr>
        <w:ind w:left="1440" w:hanging="360"/>
      </w:pPr>
      <w:rPr>
        <w:rFonts w:hint="default" w:ascii="Courier New" w:hAnsi="Courier New"/>
      </w:rPr>
    </w:lvl>
    <w:lvl w:ilvl="2" w:tplc="B5A89B70">
      <w:start w:val="1"/>
      <w:numFmt w:val="bullet"/>
      <w:lvlText w:val=""/>
      <w:lvlJc w:val="left"/>
      <w:pPr>
        <w:ind w:left="2160" w:hanging="360"/>
      </w:pPr>
      <w:rPr>
        <w:rFonts w:hint="default" w:ascii="Wingdings" w:hAnsi="Wingdings"/>
      </w:rPr>
    </w:lvl>
    <w:lvl w:ilvl="3" w:tplc="A2425434">
      <w:start w:val="1"/>
      <w:numFmt w:val="bullet"/>
      <w:lvlText w:val=""/>
      <w:lvlJc w:val="left"/>
      <w:pPr>
        <w:ind w:left="2880" w:hanging="360"/>
      </w:pPr>
      <w:rPr>
        <w:rFonts w:hint="default" w:ascii="Symbol" w:hAnsi="Symbol"/>
      </w:rPr>
    </w:lvl>
    <w:lvl w:ilvl="4" w:tplc="C7466FB6">
      <w:start w:val="1"/>
      <w:numFmt w:val="bullet"/>
      <w:lvlText w:val="o"/>
      <w:lvlJc w:val="left"/>
      <w:pPr>
        <w:ind w:left="3600" w:hanging="360"/>
      </w:pPr>
      <w:rPr>
        <w:rFonts w:hint="default" w:ascii="Courier New" w:hAnsi="Courier New"/>
      </w:rPr>
    </w:lvl>
    <w:lvl w:ilvl="5" w:tplc="3698C4FC">
      <w:start w:val="1"/>
      <w:numFmt w:val="bullet"/>
      <w:lvlText w:val=""/>
      <w:lvlJc w:val="left"/>
      <w:pPr>
        <w:ind w:left="4320" w:hanging="360"/>
      </w:pPr>
      <w:rPr>
        <w:rFonts w:hint="default" w:ascii="Wingdings" w:hAnsi="Wingdings"/>
      </w:rPr>
    </w:lvl>
    <w:lvl w:ilvl="6" w:tplc="AE9071F0">
      <w:start w:val="1"/>
      <w:numFmt w:val="bullet"/>
      <w:lvlText w:val=""/>
      <w:lvlJc w:val="left"/>
      <w:pPr>
        <w:ind w:left="5040" w:hanging="360"/>
      </w:pPr>
      <w:rPr>
        <w:rFonts w:hint="default" w:ascii="Symbol" w:hAnsi="Symbol"/>
      </w:rPr>
    </w:lvl>
    <w:lvl w:ilvl="7" w:tplc="635C1CF4">
      <w:start w:val="1"/>
      <w:numFmt w:val="bullet"/>
      <w:lvlText w:val="o"/>
      <w:lvlJc w:val="left"/>
      <w:pPr>
        <w:ind w:left="5760" w:hanging="360"/>
      </w:pPr>
      <w:rPr>
        <w:rFonts w:hint="default" w:ascii="Courier New" w:hAnsi="Courier New"/>
      </w:rPr>
    </w:lvl>
    <w:lvl w:ilvl="8" w:tplc="4484E042">
      <w:start w:val="1"/>
      <w:numFmt w:val="bullet"/>
      <w:lvlText w:val=""/>
      <w:lvlJc w:val="left"/>
      <w:pPr>
        <w:ind w:left="6480" w:hanging="360"/>
      </w:pPr>
      <w:rPr>
        <w:rFonts w:hint="default" w:ascii="Wingdings" w:hAnsi="Wingdings"/>
      </w:rPr>
    </w:lvl>
  </w:abstractNum>
  <w:abstractNum w:abstractNumId="25" w15:restartNumberingAfterBreak="0">
    <w:nsid w:val="46AF654A"/>
    <w:multiLevelType w:val="multilevel"/>
    <w:tmpl w:val="CB4247E6"/>
    <w:name w:val="TableBullets"/>
    <w:lvl w:ilvl="0">
      <w:start w:val="1"/>
      <w:numFmt w:val="bullet"/>
      <w:pStyle w:val="TableTextBullet1"/>
      <w:lvlText w:val="·"/>
      <w:lvlJc w:val="left"/>
      <w:pPr>
        <w:ind w:left="170" w:hanging="170"/>
      </w:pPr>
      <w:rPr>
        <w:rFonts w:hint="default" w:ascii="Symbol" w:hAnsi="Symbol"/>
      </w:rPr>
    </w:lvl>
    <w:lvl w:ilvl="1">
      <w:start w:val="1"/>
      <w:numFmt w:val="bullet"/>
      <w:pStyle w:val="TableTextBullet2"/>
      <w:lvlText w:val="–"/>
      <w:lvlJc w:val="left"/>
      <w:pPr>
        <w:ind w:left="340" w:hanging="170"/>
      </w:pPr>
      <w:rPr>
        <w:rFonts w:hint="default" w:ascii="Circular Std Book" w:hAnsi="Circular Std Book"/>
      </w:rPr>
    </w:lvl>
    <w:lvl w:ilvl="2">
      <w:start w:val="1"/>
      <w:numFmt w:val="bullet"/>
      <w:pStyle w:val="TableTextBullet3"/>
      <w:lvlText w:val="–"/>
      <w:lvlJc w:val="left"/>
      <w:pPr>
        <w:ind w:left="510" w:hanging="170"/>
      </w:pPr>
      <w:rPr>
        <w:rFonts w:hint="default" w:ascii="Circular Std Book" w:hAnsi="Circular Std Book"/>
      </w:rPr>
    </w:lvl>
    <w:lvl w:ilvl="3">
      <w:start w:val="1"/>
      <w:numFmt w:val="bullet"/>
      <w:lvlText w:val=""/>
      <w:lvlJc w:val="left"/>
      <w:pPr>
        <w:ind w:left="680" w:hanging="170"/>
      </w:pPr>
      <w:rPr>
        <w:rFonts w:hint="default" w:ascii="Symbol" w:hAnsi="Symbol"/>
      </w:rPr>
    </w:lvl>
    <w:lvl w:ilvl="4">
      <w:start w:val="1"/>
      <w:numFmt w:val="bullet"/>
      <w:lvlText w:val="o"/>
      <w:lvlJc w:val="left"/>
      <w:pPr>
        <w:ind w:left="850" w:hanging="170"/>
      </w:pPr>
      <w:rPr>
        <w:rFonts w:hint="default" w:ascii="Courier New" w:hAnsi="Courier New" w:cs="Courier New"/>
      </w:rPr>
    </w:lvl>
    <w:lvl w:ilvl="5">
      <w:start w:val="1"/>
      <w:numFmt w:val="bullet"/>
      <w:lvlText w:val=""/>
      <w:lvlJc w:val="left"/>
      <w:pPr>
        <w:ind w:left="1020" w:hanging="170"/>
      </w:pPr>
      <w:rPr>
        <w:rFonts w:hint="default" w:ascii="Wingdings" w:hAnsi="Wingdings"/>
      </w:rPr>
    </w:lvl>
    <w:lvl w:ilvl="6">
      <w:start w:val="1"/>
      <w:numFmt w:val="bullet"/>
      <w:lvlText w:val=""/>
      <w:lvlJc w:val="left"/>
      <w:pPr>
        <w:ind w:left="1190" w:hanging="170"/>
      </w:pPr>
      <w:rPr>
        <w:rFonts w:hint="default" w:ascii="Symbol" w:hAnsi="Symbol"/>
      </w:rPr>
    </w:lvl>
    <w:lvl w:ilvl="7">
      <w:start w:val="1"/>
      <w:numFmt w:val="bullet"/>
      <w:lvlText w:val="o"/>
      <w:lvlJc w:val="left"/>
      <w:pPr>
        <w:ind w:left="1360" w:hanging="170"/>
      </w:pPr>
      <w:rPr>
        <w:rFonts w:hint="default" w:ascii="Courier New" w:hAnsi="Courier New" w:cs="Courier New"/>
      </w:rPr>
    </w:lvl>
    <w:lvl w:ilvl="8">
      <w:start w:val="1"/>
      <w:numFmt w:val="bullet"/>
      <w:lvlText w:val=""/>
      <w:lvlJc w:val="left"/>
      <w:pPr>
        <w:ind w:left="1530" w:hanging="170"/>
      </w:pPr>
      <w:rPr>
        <w:rFonts w:hint="default" w:ascii="Wingdings" w:hAnsi="Wingdings"/>
      </w:rPr>
    </w:lvl>
  </w:abstractNum>
  <w:abstractNum w:abstractNumId="26" w15:restartNumberingAfterBreak="0">
    <w:nsid w:val="46C113AC"/>
    <w:multiLevelType w:val="multilevel"/>
    <w:tmpl w:val="30548DD8"/>
    <w:name w:val="TableNumbering"/>
    <w:lvl w:ilvl="0">
      <w:start w:val="1"/>
      <w:numFmt w:val="decimal"/>
      <w:pStyle w:val="TableTextNumbered1"/>
      <w:lvlText w:val="%1."/>
      <w:lvlJc w:val="left"/>
      <w:pPr>
        <w:ind w:left="340" w:hanging="340"/>
      </w:pPr>
      <w:rPr>
        <w:rFonts w:hint="default"/>
      </w:rPr>
    </w:lvl>
    <w:lvl w:ilvl="1">
      <w:start w:val="1"/>
      <w:numFmt w:val="lowerLetter"/>
      <w:pStyle w:val="TableTextNumbered2"/>
      <w:lvlText w:val="%2."/>
      <w:lvlJc w:val="left"/>
      <w:pPr>
        <w:ind w:left="680" w:hanging="340"/>
      </w:pPr>
      <w:rPr>
        <w:rFonts w:hint="default"/>
      </w:rPr>
    </w:lvl>
    <w:lvl w:ilvl="2">
      <w:start w:val="1"/>
      <w:numFmt w:val="lowerRoman"/>
      <w:pStyle w:val="TableTextNumbered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7" w15:restartNumberingAfterBreak="0">
    <w:nsid w:val="47230689"/>
    <w:multiLevelType w:val="hybridMultilevel"/>
    <w:tmpl w:val="FFFFFFFF"/>
    <w:lvl w:ilvl="0" w:tplc="E4F890C2">
      <w:start w:val="1"/>
      <w:numFmt w:val="bullet"/>
      <w:lvlText w:val=""/>
      <w:lvlJc w:val="left"/>
      <w:pPr>
        <w:ind w:left="360" w:hanging="360"/>
      </w:pPr>
      <w:rPr>
        <w:rFonts w:hint="default" w:ascii="Symbol" w:hAnsi="Symbol"/>
      </w:rPr>
    </w:lvl>
    <w:lvl w:ilvl="1" w:tplc="D144BCF4">
      <w:start w:val="1"/>
      <w:numFmt w:val="bullet"/>
      <w:lvlText w:val="o"/>
      <w:lvlJc w:val="left"/>
      <w:pPr>
        <w:ind w:left="1080" w:hanging="360"/>
      </w:pPr>
      <w:rPr>
        <w:rFonts w:hint="default" w:ascii="Courier New" w:hAnsi="Courier New"/>
      </w:rPr>
    </w:lvl>
    <w:lvl w:ilvl="2" w:tplc="59BC01CE">
      <w:start w:val="1"/>
      <w:numFmt w:val="bullet"/>
      <w:lvlText w:val=""/>
      <w:lvlJc w:val="left"/>
      <w:pPr>
        <w:ind w:left="1800" w:hanging="360"/>
      </w:pPr>
      <w:rPr>
        <w:rFonts w:hint="default" w:ascii="Wingdings" w:hAnsi="Wingdings"/>
      </w:rPr>
    </w:lvl>
    <w:lvl w:ilvl="3" w:tplc="77463A5A">
      <w:start w:val="1"/>
      <w:numFmt w:val="bullet"/>
      <w:lvlText w:val=""/>
      <w:lvlJc w:val="left"/>
      <w:pPr>
        <w:ind w:left="2520" w:hanging="360"/>
      </w:pPr>
      <w:rPr>
        <w:rFonts w:hint="default" w:ascii="Symbol" w:hAnsi="Symbol"/>
      </w:rPr>
    </w:lvl>
    <w:lvl w:ilvl="4" w:tplc="15886CD2">
      <w:start w:val="1"/>
      <w:numFmt w:val="bullet"/>
      <w:lvlText w:val="o"/>
      <w:lvlJc w:val="left"/>
      <w:pPr>
        <w:ind w:left="3240" w:hanging="360"/>
      </w:pPr>
      <w:rPr>
        <w:rFonts w:hint="default" w:ascii="Courier New" w:hAnsi="Courier New"/>
      </w:rPr>
    </w:lvl>
    <w:lvl w:ilvl="5" w:tplc="1A5E0C6A">
      <w:start w:val="1"/>
      <w:numFmt w:val="bullet"/>
      <w:lvlText w:val=""/>
      <w:lvlJc w:val="left"/>
      <w:pPr>
        <w:ind w:left="3960" w:hanging="360"/>
      </w:pPr>
      <w:rPr>
        <w:rFonts w:hint="default" w:ascii="Wingdings" w:hAnsi="Wingdings"/>
      </w:rPr>
    </w:lvl>
    <w:lvl w:ilvl="6" w:tplc="B90ED020">
      <w:start w:val="1"/>
      <w:numFmt w:val="bullet"/>
      <w:lvlText w:val=""/>
      <w:lvlJc w:val="left"/>
      <w:pPr>
        <w:ind w:left="4680" w:hanging="360"/>
      </w:pPr>
      <w:rPr>
        <w:rFonts w:hint="default" w:ascii="Symbol" w:hAnsi="Symbol"/>
      </w:rPr>
    </w:lvl>
    <w:lvl w:ilvl="7" w:tplc="0B4A6ECA">
      <w:start w:val="1"/>
      <w:numFmt w:val="bullet"/>
      <w:lvlText w:val="o"/>
      <w:lvlJc w:val="left"/>
      <w:pPr>
        <w:ind w:left="5400" w:hanging="360"/>
      </w:pPr>
      <w:rPr>
        <w:rFonts w:hint="default" w:ascii="Courier New" w:hAnsi="Courier New"/>
      </w:rPr>
    </w:lvl>
    <w:lvl w:ilvl="8" w:tplc="CEE6DFE2">
      <w:start w:val="1"/>
      <w:numFmt w:val="bullet"/>
      <w:lvlText w:val=""/>
      <w:lvlJc w:val="left"/>
      <w:pPr>
        <w:ind w:left="6120" w:hanging="360"/>
      </w:pPr>
      <w:rPr>
        <w:rFonts w:hint="default" w:ascii="Wingdings" w:hAnsi="Wingdings"/>
      </w:rPr>
    </w:lvl>
  </w:abstractNum>
  <w:abstractNum w:abstractNumId="28" w15:restartNumberingAfterBreak="0">
    <w:nsid w:val="4AAD4680"/>
    <w:multiLevelType w:val="hybridMultilevel"/>
    <w:tmpl w:val="529A38E8"/>
    <w:lvl w:ilvl="0" w:tplc="8B4AF8FE">
      <w:start w:val="1"/>
      <w:numFmt w:val="bullet"/>
      <w:lvlText w:val=""/>
      <w:lvlJc w:val="left"/>
      <w:pPr>
        <w:ind w:left="720" w:hanging="360"/>
      </w:pPr>
      <w:rPr>
        <w:rFonts w:hint="default" w:ascii="Symbol" w:hAnsi="Symbol"/>
      </w:rPr>
    </w:lvl>
    <w:lvl w:ilvl="1" w:tplc="D73A8372">
      <w:start w:val="1"/>
      <w:numFmt w:val="bullet"/>
      <w:lvlText w:val="·"/>
      <w:lvlJc w:val="left"/>
      <w:pPr>
        <w:ind w:left="1440" w:hanging="360"/>
      </w:pPr>
      <w:rPr>
        <w:rFonts w:hint="default" w:ascii="Symbol" w:hAnsi="Symbol"/>
      </w:rPr>
    </w:lvl>
    <w:lvl w:ilvl="2" w:tplc="3B5EE6F6">
      <w:start w:val="1"/>
      <w:numFmt w:val="bullet"/>
      <w:lvlText w:val=""/>
      <w:lvlJc w:val="left"/>
      <w:pPr>
        <w:ind w:left="2160" w:hanging="360"/>
      </w:pPr>
      <w:rPr>
        <w:rFonts w:hint="default" w:ascii="Wingdings" w:hAnsi="Wingdings"/>
      </w:rPr>
    </w:lvl>
    <w:lvl w:ilvl="3" w:tplc="0BB44D80">
      <w:start w:val="1"/>
      <w:numFmt w:val="bullet"/>
      <w:lvlText w:val=""/>
      <w:lvlJc w:val="left"/>
      <w:pPr>
        <w:ind w:left="2880" w:hanging="360"/>
      </w:pPr>
      <w:rPr>
        <w:rFonts w:hint="default" w:ascii="Symbol" w:hAnsi="Symbol"/>
      </w:rPr>
    </w:lvl>
    <w:lvl w:ilvl="4" w:tplc="B08C6F52">
      <w:start w:val="1"/>
      <w:numFmt w:val="bullet"/>
      <w:lvlText w:val="o"/>
      <w:lvlJc w:val="left"/>
      <w:pPr>
        <w:ind w:left="3600" w:hanging="360"/>
      </w:pPr>
      <w:rPr>
        <w:rFonts w:hint="default" w:ascii="Courier New" w:hAnsi="Courier New"/>
      </w:rPr>
    </w:lvl>
    <w:lvl w:ilvl="5" w:tplc="3922564A">
      <w:start w:val="1"/>
      <w:numFmt w:val="bullet"/>
      <w:lvlText w:val=""/>
      <w:lvlJc w:val="left"/>
      <w:pPr>
        <w:ind w:left="4320" w:hanging="360"/>
      </w:pPr>
      <w:rPr>
        <w:rFonts w:hint="default" w:ascii="Wingdings" w:hAnsi="Wingdings"/>
      </w:rPr>
    </w:lvl>
    <w:lvl w:ilvl="6" w:tplc="C65644AA">
      <w:start w:val="1"/>
      <w:numFmt w:val="bullet"/>
      <w:lvlText w:val=""/>
      <w:lvlJc w:val="left"/>
      <w:pPr>
        <w:ind w:left="5040" w:hanging="360"/>
      </w:pPr>
      <w:rPr>
        <w:rFonts w:hint="default" w:ascii="Symbol" w:hAnsi="Symbol"/>
      </w:rPr>
    </w:lvl>
    <w:lvl w:ilvl="7" w:tplc="9B3E1E9E">
      <w:start w:val="1"/>
      <w:numFmt w:val="bullet"/>
      <w:lvlText w:val="o"/>
      <w:lvlJc w:val="left"/>
      <w:pPr>
        <w:ind w:left="5760" w:hanging="360"/>
      </w:pPr>
      <w:rPr>
        <w:rFonts w:hint="default" w:ascii="Courier New" w:hAnsi="Courier New"/>
      </w:rPr>
    </w:lvl>
    <w:lvl w:ilvl="8" w:tplc="0D049FFA">
      <w:start w:val="1"/>
      <w:numFmt w:val="bullet"/>
      <w:lvlText w:val=""/>
      <w:lvlJc w:val="left"/>
      <w:pPr>
        <w:ind w:left="6480" w:hanging="360"/>
      </w:pPr>
      <w:rPr>
        <w:rFonts w:hint="default" w:ascii="Wingdings" w:hAnsi="Wingdings"/>
      </w:rPr>
    </w:lvl>
  </w:abstractNum>
  <w:abstractNum w:abstractNumId="29" w15:restartNumberingAfterBreak="0">
    <w:nsid w:val="4F6AA7AF"/>
    <w:multiLevelType w:val="hybridMultilevel"/>
    <w:tmpl w:val="FFFFFFFF"/>
    <w:lvl w:ilvl="0" w:tplc="532877D6">
      <w:start w:val="1"/>
      <w:numFmt w:val="bullet"/>
      <w:lvlText w:val=""/>
      <w:lvlJc w:val="left"/>
      <w:pPr>
        <w:ind w:left="720" w:hanging="360"/>
      </w:pPr>
      <w:rPr>
        <w:rFonts w:hint="default" w:ascii="Symbol" w:hAnsi="Symbol"/>
      </w:rPr>
    </w:lvl>
    <w:lvl w:ilvl="1" w:tplc="D068DA72">
      <w:start w:val="1"/>
      <w:numFmt w:val="bullet"/>
      <w:lvlText w:val="o"/>
      <w:lvlJc w:val="left"/>
      <w:pPr>
        <w:ind w:left="1440" w:hanging="360"/>
      </w:pPr>
      <w:rPr>
        <w:rFonts w:hint="default" w:ascii="Courier New" w:hAnsi="Courier New"/>
      </w:rPr>
    </w:lvl>
    <w:lvl w:ilvl="2" w:tplc="0A3ABEBE">
      <w:start w:val="1"/>
      <w:numFmt w:val="bullet"/>
      <w:lvlText w:val=""/>
      <w:lvlJc w:val="left"/>
      <w:pPr>
        <w:ind w:left="2160" w:hanging="360"/>
      </w:pPr>
      <w:rPr>
        <w:rFonts w:hint="default" w:ascii="Wingdings" w:hAnsi="Wingdings"/>
      </w:rPr>
    </w:lvl>
    <w:lvl w:ilvl="3" w:tplc="0254BE52">
      <w:start w:val="1"/>
      <w:numFmt w:val="bullet"/>
      <w:lvlText w:val=""/>
      <w:lvlJc w:val="left"/>
      <w:pPr>
        <w:ind w:left="2880" w:hanging="360"/>
      </w:pPr>
      <w:rPr>
        <w:rFonts w:hint="default" w:ascii="Symbol" w:hAnsi="Symbol"/>
      </w:rPr>
    </w:lvl>
    <w:lvl w:ilvl="4" w:tplc="083C225A">
      <w:start w:val="1"/>
      <w:numFmt w:val="bullet"/>
      <w:lvlText w:val="o"/>
      <w:lvlJc w:val="left"/>
      <w:pPr>
        <w:ind w:left="3600" w:hanging="360"/>
      </w:pPr>
      <w:rPr>
        <w:rFonts w:hint="default" w:ascii="Courier New" w:hAnsi="Courier New"/>
      </w:rPr>
    </w:lvl>
    <w:lvl w:ilvl="5" w:tplc="2A125D0E">
      <w:start w:val="1"/>
      <w:numFmt w:val="bullet"/>
      <w:lvlText w:val=""/>
      <w:lvlJc w:val="left"/>
      <w:pPr>
        <w:ind w:left="4320" w:hanging="360"/>
      </w:pPr>
      <w:rPr>
        <w:rFonts w:hint="default" w:ascii="Wingdings" w:hAnsi="Wingdings"/>
      </w:rPr>
    </w:lvl>
    <w:lvl w:ilvl="6" w:tplc="4BEABDD6">
      <w:start w:val="1"/>
      <w:numFmt w:val="bullet"/>
      <w:lvlText w:val=""/>
      <w:lvlJc w:val="left"/>
      <w:pPr>
        <w:ind w:left="5040" w:hanging="360"/>
      </w:pPr>
      <w:rPr>
        <w:rFonts w:hint="default" w:ascii="Symbol" w:hAnsi="Symbol"/>
      </w:rPr>
    </w:lvl>
    <w:lvl w:ilvl="7" w:tplc="2DC6687E">
      <w:start w:val="1"/>
      <w:numFmt w:val="bullet"/>
      <w:lvlText w:val="o"/>
      <w:lvlJc w:val="left"/>
      <w:pPr>
        <w:ind w:left="5760" w:hanging="360"/>
      </w:pPr>
      <w:rPr>
        <w:rFonts w:hint="default" w:ascii="Courier New" w:hAnsi="Courier New"/>
      </w:rPr>
    </w:lvl>
    <w:lvl w:ilvl="8" w:tplc="0A468C8E">
      <w:start w:val="1"/>
      <w:numFmt w:val="bullet"/>
      <w:lvlText w:val=""/>
      <w:lvlJc w:val="left"/>
      <w:pPr>
        <w:ind w:left="6480" w:hanging="360"/>
      </w:pPr>
      <w:rPr>
        <w:rFonts w:hint="default" w:ascii="Wingdings" w:hAnsi="Wingdings"/>
      </w:rPr>
    </w:lvl>
  </w:abstractNum>
  <w:abstractNum w:abstractNumId="30" w15:restartNumberingAfterBreak="0">
    <w:nsid w:val="507C6907"/>
    <w:multiLevelType w:val="hybridMultilevel"/>
    <w:tmpl w:val="0ED8B32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1" w15:restartNumberingAfterBreak="0">
    <w:nsid w:val="60DD5302"/>
    <w:multiLevelType w:val="multilevel"/>
    <w:tmpl w:val="F162F698"/>
    <w:name w:val="Bullets2"/>
    <w:lvl w:ilvl="0">
      <w:start w:val="1"/>
      <w:numFmt w:val="upperLetter"/>
      <w:pStyle w:val="AppendixHeading1"/>
      <w:suff w:val="nothing"/>
      <w:lvlText w:val="Appendix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2" w15:restartNumberingAfterBreak="0">
    <w:nsid w:val="6C21037A"/>
    <w:multiLevelType w:val="hybridMultilevel"/>
    <w:tmpl w:val="FFFFFFFF"/>
    <w:lvl w:ilvl="0" w:tplc="846CBAF6">
      <w:start w:val="1"/>
      <w:numFmt w:val="bullet"/>
      <w:lvlText w:val=""/>
      <w:lvlJc w:val="left"/>
      <w:pPr>
        <w:ind w:left="720" w:hanging="360"/>
      </w:pPr>
      <w:rPr>
        <w:rFonts w:hint="default" w:ascii="Symbol" w:hAnsi="Symbol"/>
      </w:rPr>
    </w:lvl>
    <w:lvl w:ilvl="1" w:tplc="F70ACFE2">
      <w:start w:val="1"/>
      <w:numFmt w:val="bullet"/>
      <w:lvlText w:val="o"/>
      <w:lvlJc w:val="left"/>
      <w:pPr>
        <w:ind w:left="1440" w:hanging="360"/>
      </w:pPr>
      <w:rPr>
        <w:rFonts w:hint="default" w:ascii="Courier New" w:hAnsi="Courier New"/>
      </w:rPr>
    </w:lvl>
    <w:lvl w:ilvl="2" w:tplc="B8C28CE0">
      <w:start w:val="1"/>
      <w:numFmt w:val="bullet"/>
      <w:lvlText w:val=""/>
      <w:lvlJc w:val="left"/>
      <w:pPr>
        <w:ind w:left="2160" w:hanging="360"/>
      </w:pPr>
      <w:rPr>
        <w:rFonts w:hint="default" w:ascii="Wingdings" w:hAnsi="Wingdings"/>
      </w:rPr>
    </w:lvl>
    <w:lvl w:ilvl="3" w:tplc="D054BB1C">
      <w:start w:val="1"/>
      <w:numFmt w:val="bullet"/>
      <w:lvlText w:val=""/>
      <w:lvlJc w:val="left"/>
      <w:pPr>
        <w:ind w:left="2880" w:hanging="360"/>
      </w:pPr>
      <w:rPr>
        <w:rFonts w:hint="default" w:ascii="Symbol" w:hAnsi="Symbol"/>
      </w:rPr>
    </w:lvl>
    <w:lvl w:ilvl="4" w:tplc="A7ACF582">
      <w:start w:val="1"/>
      <w:numFmt w:val="bullet"/>
      <w:lvlText w:val="o"/>
      <w:lvlJc w:val="left"/>
      <w:pPr>
        <w:ind w:left="3600" w:hanging="360"/>
      </w:pPr>
      <w:rPr>
        <w:rFonts w:hint="default" w:ascii="Courier New" w:hAnsi="Courier New"/>
      </w:rPr>
    </w:lvl>
    <w:lvl w:ilvl="5" w:tplc="437A2D4A">
      <w:start w:val="1"/>
      <w:numFmt w:val="bullet"/>
      <w:lvlText w:val=""/>
      <w:lvlJc w:val="left"/>
      <w:pPr>
        <w:ind w:left="4320" w:hanging="360"/>
      </w:pPr>
      <w:rPr>
        <w:rFonts w:hint="default" w:ascii="Wingdings" w:hAnsi="Wingdings"/>
      </w:rPr>
    </w:lvl>
    <w:lvl w:ilvl="6" w:tplc="C254A320">
      <w:start w:val="1"/>
      <w:numFmt w:val="bullet"/>
      <w:lvlText w:val=""/>
      <w:lvlJc w:val="left"/>
      <w:pPr>
        <w:ind w:left="5040" w:hanging="360"/>
      </w:pPr>
      <w:rPr>
        <w:rFonts w:hint="default" w:ascii="Symbol" w:hAnsi="Symbol"/>
      </w:rPr>
    </w:lvl>
    <w:lvl w:ilvl="7" w:tplc="71F08C02">
      <w:start w:val="1"/>
      <w:numFmt w:val="bullet"/>
      <w:lvlText w:val="o"/>
      <w:lvlJc w:val="left"/>
      <w:pPr>
        <w:ind w:left="5760" w:hanging="360"/>
      </w:pPr>
      <w:rPr>
        <w:rFonts w:hint="default" w:ascii="Courier New" w:hAnsi="Courier New"/>
      </w:rPr>
    </w:lvl>
    <w:lvl w:ilvl="8" w:tplc="B9CA2F7E">
      <w:start w:val="1"/>
      <w:numFmt w:val="bullet"/>
      <w:lvlText w:val=""/>
      <w:lvlJc w:val="left"/>
      <w:pPr>
        <w:ind w:left="6480" w:hanging="360"/>
      </w:pPr>
      <w:rPr>
        <w:rFonts w:hint="default" w:ascii="Wingdings" w:hAnsi="Wingdings"/>
      </w:rPr>
    </w:lvl>
  </w:abstractNum>
  <w:abstractNum w:abstractNumId="33" w15:restartNumberingAfterBreak="0">
    <w:nsid w:val="74540F99"/>
    <w:multiLevelType w:val="hybridMultilevel"/>
    <w:tmpl w:val="FFFFFFFF"/>
    <w:lvl w:ilvl="0" w:tplc="601816C6">
      <w:start w:val="1"/>
      <w:numFmt w:val="bullet"/>
      <w:lvlText w:val=""/>
      <w:lvlJc w:val="left"/>
      <w:pPr>
        <w:ind w:left="720" w:hanging="360"/>
      </w:pPr>
      <w:rPr>
        <w:rFonts w:hint="default" w:ascii="Symbol" w:hAnsi="Symbol"/>
      </w:rPr>
    </w:lvl>
    <w:lvl w:ilvl="1" w:tplc="FA5ADF16">
      <w:start w:val="1"/>
      <w:numFmt w:val="bullet"/>
      <w:lvlText w:val="o"/>
      <w:lvlJc w:val="left"/>
      <w:pPr>
        <w:ind w:left="1440" w:hanging="360"/>
      </w:pPr>
      <w:rPr>
        <w:rFonts w:hint="default" w:ascii="Courier New" w:hAnsi="Courier New"/>
      </w:rPr>
    </w:lvl>
    <w:lvl w:ilvl="2" w:tplc="FE2ED896">
      <w:start w:val="1"/>
      <w:numFmt w:val="bullet"/>
      <w:lvlText w:val=""/>
      <w:lvlJc w:val="left"/>
      <w:pPr>
        <w:ind w:left="2160" w:hanging="360"/>
      </w:pPr>
      <w:rPr>
        <w:rFonts w:hint="default" w:ascii="Wingdings" w:hAnsi="Wingdings"/>
      </w:rPr>
    </w:lvl>
    <w:lvl w:ilvl="3" w:tplc="85FA5FFA">
      <w:start w:val="1"/>
      <w:numFmt w:val="bullet"/>
      <w:lvlText w:val=""/>
      <w:lvlJc w:val="left"/>
      <w:pPr>
        <w:ind w:left="2880" w:hanging="360"/>
      </w:pPr>
      <w:rPr>
        <w:rFonts w:hint="default" w:ascii="Symbol" w:hAnsi="Symbol"/>
      </w:rPr>
    </w:lvl>
    <w:lvl w:ilvl="4" w:tplc="832EED16">
      <w:start w:val="1"/>
      <w:numFmt w:val="bullet"/>
      <w:lvlText w:val="o"/>
      <w:lvlJc w:val="left"/>
      <w:pPr>
        <w:ind w:left="3600" w:hanging="360"/>
      </w:pPr>
      <w:rPr>
        <w:rFonts w:hint="default" w:ascii="Courier New" w:hAnsi="Courier New"/>
      </w:rPr>
    </w:lvl>
    <w:lvl w:ilvl="5" w:tplc="E5AEF1DE">
      <w:start w:val="1"/>
      <w:numFmt w:val="bullet"/>
      <w:lvlText w:val=""/>
      <w:lvlJc w:val="left"/>
      <w:pPr>
        <w:ind w:left="4320" w:hanging="360"/>
      </w:pPr>
      <w:rPr>
        <w:rFonts w:hint="default" w:ascii="Wingdings" w:hAnsi="Wingdings"/>
      </w:rPr>
    </w:lvl>
    <w:lvl w:ilvl="6" w:tplc="656C6AB0">
      <w:start w:val="1"/>
      <w:numFmt w:val="bullet"/>
      <w:lvlText w:val=""/>
      <w:lvlJc w:val="left"/>
      <w:pPr>
        <w:ind w:left="5040" w:hanging="360"/>
      </w:pPr>
      <w:rPr>
        <w:rFonts w:hint="default" w:ascii="Symbol" w:hAnsi="Symbol"/>
      </w:rPr>
    </w:lvl>
    <w:lvl w:ilvl="7" w:tplc="67300CEA">
      <w:start w:val="1"/>
      <w:numFmt w:val="bullet"/>
      <w:lvlText w:val="o"/>
      <w:lvlJc w:val="left"/>
      <w:pPr>
        <w:ind w:left="5760" w:hanging="360"/>
      </w:pPr>
      <w:rPr>
        <w:rFonts w:hint="default" w:ascii="Courier New" w:hAnsi="Courier New"/>
      </w:rPr>
    </w:lvl>
    <w:lvl w:ilvl="8" w:tplc="BF3044D6">
      <w:start w:val="1"/>
      <w:numFmt w:val="bullet"/>
      <w:lvlText w:val=""/>
      <w:lvlJc w:val="left"/>
      <w:pPr>
        <w:ind w:left="6480" w:hanging="360"/>
      </w:pPr>
      <w:rPr>
        <w:rFonts w:hint="default" w:ascii="Wingdings" w:hAnsi="Wingdings"/>
      </w:rPr>
    </w:lvl>
  </w:abstractNum>
  <w:abstractNum w:abstractNumId="34"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hint="default" w:ascii="Symbol" w:hAnsi="Symbol"/>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5" w15:restartNumberingAfterBreak="0">
    <w:nsid w:val="799F7505"/>
    <w:multiLevelType w:val="hybridMultilevel"/>
    <w:tmpl w:val="FFFFFFFF"/>
    <w:lvl w:ilvl="0" w:tplc="75DAA084">
      <w:start w:val="1"/>
      <w:numFmt w:val="bullet"/>
      <w:lvlText w:val=""/>
      <w:lvlJc w:val="left"/>
      <w:pPr>
        <w:ind w:left="720" w:hanging="360"/>
      </w:pPr>
      <w:rPr>
        <w:rFonts w:hint="default" w:ascii="Symbol" w:hAnsi="Symbol"/>
      </w:rPr>
    </w:lvl>
    <w:lvl w:ilvl="1" w:tplc="7C38000A">
      <w:start w:val="1"/>
      <w:numFmt w:val="bullet"/>
      <w:lvlText w:val="o"/>
      <w:lvlJc w:val="left"/>
      <w:pPr>
        <w:ind w:left="1440" w:hanging="360"/>
      </w:pPr>
      <w:rPr>
        <w:rFonts w:hint="default" w:ascii="Courier New" w:hAnsi="Courier New"/>
      </w:rPr>
    </w:lvl>
    <w:lvl w:ilvl="2" w:tplc="CCCEADF2">
      <w:start w:val="1"/>
      <w:numFmt w:val="bullet"/>
      <w:lvlText w:val=""/>
      <w:lvlJc w:val="left"/>
      <w:pPr>
        <w:ind w:left="2160" w:hanging="360"/>
      </w:pPr>
      <w:rPr>
        <w:rFonts w:hint="default" w:ascii="Wingdings" w:hAnsi="Wingdings"/>
      </w:rPr>
    </w:lvl>
    <w:lvl w:ilvl="3" w:tplc="91468FBE">
      <w:start w:val="1"/>
      <w:numFmt w:val="bullet"/>
      <w:lvlText w:val=""/>
      <w:lvlJc w:val="left"/>
      <w:pPr>
        <w:ind w:left="2880" w:hanging="360"/>
      </w:pPr>
      <w:rPr>
        <w:rFonts w:hint="default" w:ascii="Symbol" w:hAnsi="Symbol"/>
      </w:rPr>
    </w:lvl>
    <w:lvl w:ilvl="4" w:tplc="CFB28A98">
      <w:start w:val="1"/>
      <w:numFmt w:val="bullet"/>
      <w:lvlText w:val="o"/>
      <w:lvlJc w:val="left"/>
      <w:pPr>
        <w:ind w:left="3600" w:hanging="360"/>
      </w:pPr>
      <w:rPr>
        <w:rFonts w:hint="default" w:ascii="Courier New" w:hAnsi="Courier New"/>
      </w:rPr>
    </w:lvl>
    <w:lvl w:ilvl="5" w:tplc="92B254FA">
      <w:start w:val="1"/>
      <w:numFmt w:val="bullet"/>
      <w:lvlText w:val=""/>
      <w:lvlJc w:val="left"/>
      <w:pPr>
        <w:ind w:left="4320" w:hanging="360"/>
      </w:pPr>
      <w:rPr>
        <w:rFonts w:hint="default" w:ascii="Wingdings" w:hAnsi="Wingdings"/>
      </w:rPr>
    </w:lvl>
    <w:lvl w:ilvl="6" w:tplc="6BF88104">
      <w:start w:val="1"/>
      <w:numFmt w:val="bullet"/>
      <w:lvlText w:val=""/>
      <w:lvlJc w:val="left"/>
      <w:pPr>
        <w:ind w:left="5040" w:hanging="360"/>
      </w:pPr>
      <w:rPr>
        <w:rFonts w:hint="default" w:ascii="Symbol" w:hAnsi="Symbol"/>
      </w:rPr>
    </w:lvl>
    <w:lvl w:ilvl="7" w:tplc="EAA8B800">
      <w:start w:val="1"/>
      <w:numFmt w:val="bullet"/>
      <w:lvlText w:val="o"/>
      <w:lvlJc w:val="left"/>
      <w:pPr>
        <w:ind w:left="5760" w:hanging="360"/>
      </w:pPr>
      <w:rPr>
        <w:rFonts w:hint="default" w:ascii="Courier New" w:hAnsi="Courier New"/>
      </w:rPr>
    </w:lvl>
    <w:lvl w:ilvl="8" w:tplc="72BE59BA">
      <w:start w:val="1"/>
      <w:numFmt w:val="bullet"/>
      <w:lvlText w:val=""/>
      <w:lvlJc w:val="left"/>
      <w:pPr>
        <w:ind w:left="6480" w:hanging="360"/>
      </w:pPr>
      <w:rPr>
        <w:rFonts w:hint="default" w:ascii="Wingdings" w:hAnsi="Wingdings"/>
      </w:rPr>
    </w:lvl>
  </w:abstractNum>
  <w:abstractNum w:abstractNumId="36" w15:restartNumberingAfterBreak="0">
    <w:nsid w:val="7D22A3A5"/>
    <w:multiLevelType w:val="hybridMultilevel"/>
    <w:tmpl w:val="FFFFFFFF"/>
    <w:lvl w:ilvl="0" w:tplc="DD26AC0C">
      <w:start w:val="1"/>
      <w:numFmt w:val="bullet"/>
      <w:lvlText w:val=""/>
      <w:lvlJc w:val="left"/>
      <w:pPr>
        <w:ind w:left="720" w:hanging="360"/>
      </w:pPr>
      <w:rPr>
        <w:rFonts w:hint="default" w:ascii="Symbol" w:hAnsi="Symbol"/>
      </w:rPr>
    </w:lvl>
    <w:lvl w:ilvl="1" w:tplc="C8A0497C">
      <w:start w:val="1"/>
      <w:numFmt w:val="bullet"/>
      <w:lvlText w:val="o"/>
      <w:lvlJc w:val="left"/>
      <w:pPr>
        <w:ind w:left="1440" w:hanging="360"/>
      </w:pPr>
      <w:rPr>
        <w:rFonts w:hint="default" w:ascii="Courier New" w:hAnsi="Courier New"/>
      </w:rPr>
    </w:lvl>
    <w:lvl w:ilvl="2" w:tplc="853241E6">
      <w:start w:val="1"/>
      <w:numFmt w:val="bullet"/>
      <w:lvlText w:val=""/>
      <w:lvlJc w:val="left"/>
      <w:pPr>
        <w:ind w:left="2160" w:hanging="360"/>
      </w:pPr>
      <w:rPr>
        <w:rFonts w:hint="default" w:ascii="Wingdings" w:hAnsi="Wingdings"/>
      </w:rPr>
    </w:lvl>
    <w:lvl w:ilvl="3" w:tplc="96A6FA54">
      <w:start w:val="1"/>
      <w:numFmt w:val="bullet"/>
      <w:lvlText w:val=""/>
      <w:lvlJc w:val="left"/>
      <w:pPr>
        <w:ind w:left="2880" w:hanging="360"/>
      </w:pPr>
      <w:rPr>
        <w:rFonts w:hint="default" w:ascii="Symbol" w:hAnsi="Symbol"/>
      </w:rPr>
    </w:lvl>
    <w:lvl w:ilvl="4" w:tplc="169224D4">
      <w:start w:val="1"/>
      <w:numFmt w:val="bullet"/>
      <w:lvlText w:val="o"/>
      <w:lvlJc w:val="left"/>
      <w:pPr>
        <w:ind w:left="3600" w:hanging="360"/>
      </w:pPr>
      <w:rPr>
        <w:rFonts w:hint="default" w:ascii="Courier New" w:hAnsi="Courier New"/>
      </w:rPr>
    </w:lvl>
    <w:lvl w:ilvl="5" w:tplc="61D247BC">
      <w:start w:val="1"/>
      <w:numFmt w:val="bullet"/>
      <w:lvlText w:val=""/>
      <w:lvlJc w:val="left"/>
      <w:pPr>
        <w:ind w:left="4320" w:hanging="360"/>
      </w:pPr>
      <w:rPr>
        <w:rFonts w:hint="default" w:ascii="Wingdings" w:hAnsi="Wingdings"/>
      </w:rPr>
    </w:lvl>
    <w:lvl w:ilvl="6" w:tplc="7BF6EF06">
      <w:start w:val="1"/>
      <w:numFmt w:val="bullet"/>
      <w:lvlText w:val=""/>
      <w:lvlJc w:val="left"/>
      <w:pPr>
        <w:ind w:left="5040" w:hanging="360"/>
      </w:pPr>
      <w:rPr>
        <w:rFonts w:hint="default" w:ascii="Symbol" w:hAnsi="Symbol"/>
      </w:rPr>
    </w:lvl>
    <w:lvl w:ilvl="7" w:tplc="6C103452">
      <w:start w:val="1"/>
      <w:numFmt w:val="bullet"/>
      <w:lvlText w:val="o"/>
      <w:lvlJc w:val="left"/>
      <w:pPr>
        <w:ind w:left="5760" w:hanging="360"/>
      </w:pPr>
      <w:rPr>
        <w:rFonts w:hint="default" w:ascii="Courier New" w:hAnsi="Courier New"/>
      </w:rPr>
    </w:lvl>
    <w:lvl w:ilvl="8" w:tplc="7BD283E4">
      <w:start w:val="1"/>
      <w:numFmt w:val="bullet"/>
      <w:lvlText w:val=""/>
      <w:lvlJc w:val="left"/>
      <w:pPr>
        <w:ind w:left="6480" w:hanging="360"/>
      </w:pPr>
      <w:rPr>
        <w:rFonts w:hint="default" w:ascii="Wingdings" w:hAnsi="Wingdings"/>
      </w:rPr>
    </w:lvl>
  </w:abstractNum>
  <w:num w:numId="1" w16cid:durableId="28337410">
    <w:abstractNumId w:val="22"/>
  </w:num>
  <w:num w:numId="2" w16cid:durableId="1454129269">
    <w:abstractNumId w:val="12"/>
  </w:num>
  <w:num w:numId="3" w16cid:durableId="1091122302">
    <w:abstractNumId w:val="31"/>
  </w:num>
  <w:num w:numId="4" w16cid:durableId="709961055">
    <w:abstractNumId w:val="18"/>
  </w:num>
  <w:num w:numId="5" w16cid:durableId="1831821363">
    <w:abstractNumId w:val="25"/>
  </w:num>
  <w:num w:numId="6" w16cid:durableId="1043865360">
    <w:abstractNumId w:val="26"/>
  </w:num>
  <w:num w:numId="7" w16cid:durableId="899096109">
    <w:abstractNumId w:val="2"/>
  </w:num>
  <w:num w:numId="8" w16cid:durableId="776871893">
    <w:abstractNumId w:val="33"/>
  </w:num>
  <w:num w:numId="9" w16cid:durableId="8439832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289821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070549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925916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1869470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049315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3421669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40310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229679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1333008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506039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32835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005235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032398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12554756">
    <w:abstractNumId w:val="29"/>
  </w:num>
  <w:num w:numId="24" w16cid:durableId="1278753445">
    <w:abstractNumId w:val="35"/>
  </w:num>
  <w:num w:numId="25" w16cid:durableId="452213979">
    <w:abstractNumId w:val="23"/>
  </w:num>
  <w:num w:numId="26" w16cid:durableId="1687243785">
    <w:abstractNumId w:val="16"/>
  </w:num>
  <w:num w:numId="27" w16cid:durableId="1122575099">
    <w:abstractNumId w:val="11"/>
  </w:num>
  <w:num w:numId="28" w16cid:durableId="489296884">
    <w:abstractNumId w:val="30"/>
  </w:num>
  <w:num w:numId="29" w16cid:durableId="959842057">
    <w:abstractNumId w:val="17"/>
  </w:num>
  <w:num w:numId="30" w16cid:durableId="173154005">
    <w:abstractNumId w:val="15"/>
  </w:num>
  <w:num w:numId="31" w16cid:durableId="318775625">
    <w:abstractNumId w:val="9"/>
  </w:num>
  <w:num w:numId="32" w16cid:durableId="372119630">
    <w:abstractNumId w:val="28"/>
  </w:num>
  <w:num w:numId="33" w16cid:durableId="330984142">
    <w:abstractNumId w:val="14"/>
  </w:num>
  <w:num w:numId="34" w16cid:durableId="887448260">
    <w:abstractNumId w:val="4"/>
  </w:num>
  <w:num w:numId="35" w16cid:durableId="1291402462">
    <w:abstractNumId w:val="27"/>
  </w:num>
  <w:num w:numId="36" w16cid:durableId="1624531375">
    <w:abstractNumId w:val="21"/>
  </w:num>
  <w:num w:numId="37" w16cid:durableId="1076321678">
    <w:abstractNumId w:val="10"/>
  </w:num>
  <w:num w:numId="38" w16cid:durableId="1699232245">
    <w:abstractNumId w:val="32"/>
  </w:num>
  <w:num w:numId="39" w16cid:durableId="997730793">
    <w:abstractNumId w:val="8"/>
  </w:num>
  <w:num w:numId="40" w16cid:durableId="415447037">
    <w:abstractNumId w:val="36"/>
  </w:num>
  <w:num w:numId="41" w16cid:durableId="862327526">
    <w:abstractNumId w:val="24"/>
  </w:num>
  <w:num w:numId="42" w16cid:durableId="1149907209">
    <w:abstractNumId w:val="3"/>
  </w:num>
  <w:num w:numId="43" w16cid:durableId="1935552949">
    <w:abstractNumId w:val="7"/>
  </w:num>
  <w:num w:numId="44" w16cid:durableId="902182322">
    <w:abstractNumId w:val="13"/>
  </w:num>
  <w:num w:numId="45" w16cid:durableId="978416707">
    <w:abstractNumId w:val="0"/>
  </w:num>
  <w:numIdMacAtCleanup w:val="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displayBackgroundShape/>
  <w:proofState w:spelling="clean" w:grammar="dirty"/>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trackRevisions w:val="false"/>
  <w:styleLockQFSet/>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17F"/>
    <w:rsid w:val="00002BB6"/>
    <w:rsid w:val="0000357E"/>
    <w:rsid w:val="00003AD5"/>
    <w:rsid w:val="00003B13"/>
    <w:rsid w:val="000048A1"/>
    <w:rsid w:val="0000578C"/>
    <w:rsid w:val="00007116"/>
    <w:rsid w:val="00010362"/>
    <w:rsid w:val="000109CA"/>
    <w:rsid w:val="00012493"/>
    <w:rsid w:val="00013CF5"/>
    <w:rsid w:val="00014A2B"/>
    <w:rsid w:val="00015395"/>
    <w:rsid w:val="00015489"/>
    <w:rsid w:val="00015AC3"/>
    <w:rsid w:val="00016C88"/>
    <w:rsid w:val="00016F7E"/>
    <w:rsid w:val="00021083"/>
    <w:rsid w:val="00021629"/>
    <w:rsid w:val="0002770F"/>
    <w:rsid w:val="00030518"/>
    <w:rsid w:val="00031BD4"/>
    <w:rsid w:val="000340A9"/>
    <w:rsid w:val="0003430B"/>
    <w:rsid w:val="00034A7D"/>
    <w:rsid w:val="00035765"/>
    <w:rsid w:val="00035E23"/>
    <w:rsid w:val="000369DE"/>
    <w:rsid w:val="00037AC1"/>
    <w:rsid w:val="00040C44"/>
    <w:rsid w:val="00041138"/>
    <w:rsid w:val="00041675"/>
    <w:rsid w:val="00042613"/>
    <w:rsid w:val="00043D40"/>
    <w:rsid w:val="00045720"/>
    <w:rsid w:val="00045FB1"/>
    <w:rsid w:val="0005058B"/>
    <w:rsid w:val="0005070B"/>
    <w:rsid w:val="00051849"/>
    <w:rsid w:val="00051A9D"/>
    <w:rsid w:val="000520CE"/>
    <w:rsid w:val="00052B5A"/>
    <w:rsid w:val="00055C25"/>
    <w:rsid w:val="0005619B"/>
    <w:rsid w:val="00056673"/>
    <w:rsid w:val="00056C2A"/>
    <w:rsid w:val="0006184F"/>
    <w:rsid w:val="00061B2D"/>
    <w:rsid w:val="000628F5"/>
    <w:rsid w:val="00063873"/>
    <w:rsid w:val="000645EC"/>
    <w:rsid w:val="000655EA"/>
    <w:rsid w:val="00065EC1"/>
    <w:rsid w:val="00067AFB"/>
    <w:rsid w:val="000727EB"/>
    <w:rsid w:val="00072C00"/>
    <w:rsid w:val="0007381D"/>
    <w:rsid w:val="00075801"/>
    <w:rsid w:val="000767E6"/>
    <w:rsid w:val="000807D2"/>
    <w:rsid w:val="0008298C"/>
    <w:rsid w:val="00082E6C"/>
    <w:rsid w:val="0008307B"/>
    <w:rsid w:val="000830C8"/>
    <w:rsid w:val="000846FE"/>
    <w:rsid w:val="000873E7"/>
    <w:rsid w:val="000912CA"/>
    <w:rsid w:val="0009559C"/>
    <w:rsid w:val="00095835"/>
    <w:rsid w:val="00095E19"/>
    <w:rsid w:val="000A0633"/>
    <w:rsid w:val="000A2B20"/>
    <w:rsid w:val="000A2EF9"/>
    <w:rsid w:val="000A4BF6"/>
    <w:rsid w:val="000A5FD7"/>
    <w:rsid w:val="000A73E8"/>
    <w:rsid w:val="000B5463"/>
    <w:rsid w:val="000B559A"/>
    <w:rsid w:val="000B5B3D"/>
    <w:rsid w:val="000B6824"/>
    <w:rsid w:val="000C074C"/>
    <w:rsid w:val="000C2502"/>
    <w:rsid w:val="000C4B96"/>
    <w:rsid w:val="000C5E53"/>
    <w:rsid w:val="000C62A1"/>
    <w:rsid w:val="000C73FC"/>
    <w:rsid w:val="000C7DD4"/>
    <w:rsid w:val="000CAB60"/>
    <w:rsid w:val="000D0BD0"/>
    <w:rsid w:val="000D0BE9"/>
    <w:rsid w:val="000D1087"/>
    <w:rsid w:val="000D445B"/>
    <w:rsid w:val="000D6EA5"/>
    <w:rsid w:val="000E0ED3"/>
    <w:rsid w:val="000E1AFB"/>
    <w:rsid w:val="000E22A7"/>
    <w:rsid w:val="000E46A7"/>
    <w:rsid w:val="000E5FD0"/>
    <w:rsid w:val="000E7020"/>
    <w:rsid w:val="000E7E6D"/>
    <w:rsid w:val="000F05A3"/>
    <w:rsid w:val="000F21A3"/>
    <w:rsid w:val="000F27B5"/>
    <w:rsid w:val="000F2B71"/>
    <w:rsid w:val="000F4CEF"/>
    <w:rsid w:val="000F52FE"/>
    <w:rsid w:val="000F6121"/>
    <w:rsid w:val="000F71C6"/>
    <w:rsid w:val="00100CC7"/>
    <w:rsid w:val="00100D19"/>
    <w:rsid w:val="001027FB"/>
    <w:rsid w:val="00103137"/>
    <w:rsid w:val="00104560"/>
    <w:rsid w:val="001068F1"/>
    <w:rsid w:val="00106BC8"/>
    <w:rsid w:val="00107FFA"/>
    <w:rsid w:val="001103F8"/>
    <w:rsid w:val="00110FF5"/>
    <w:rsid w:val="00111BC2"/>
    <w:rsid w:val="001123B1"/>
    <w:rsid w:val="00113B8E"/>
    <w:rsid w:val="00114534"/>
    <w:rsid w:val="00114C90"/>
    <w:rsid w:val="00116352"/>
    <w:rsid w:val="0011699E"/>
    <w:rsid w:val="00116F56"/>
    <w:rsid w:val="001207DA"/>
    <w:rsid w:val="001218C5"/>
    <w:rsid w:val="00121968"/>
    <w:rsid w:val="00122A71"/>
    <w:rsid w:val="00122E8B"/>
    <w:rsid w:val="0012303F"/>
    <w:rsid w:val="0012356D"/>
    <w:rsid w:val="00124804"/>
    <w:rsid w:val="00124F7D"/>
    <w:rsid w:val="00126586"/>
    <w:rsid w:val="0012731F"/>
    <w:rsid w:val="001341EF"/>
    <w:rsid w:val="0013540C"/>
    <w:rsid w:val="001357B8"/>
    <w:rsid w:val="001359F2"/>
    <w:rsid w:val="00136854"/>
    <w:rsid w:val="001368C7"/>
    <w:rsid w:val="0013729F"/>
    <w:rsid w:val="00140AAD"/>
    <w:rsid w:val="00141D15"/>
    <w:rsid w:val="0014295F"/>
    <w:rsid w:val="001430DC"/>
    <w:rsid w:val="001445B5"/>
    <w:rsid w:val="00146E27"/>
    <w:rsid w:val="001511BE"/>
    <w:rsid w:val="0015135C"/>
    <w:rsid w:val="00151D9F"/>
    <w:rsid w:val="00152D85"/>
    <w:rsid w:val="00153248"/>
    <w:rsid w:val="00153A0E"/>
    <w:rsid w:val="0015407F"/>
    <w:rsid w:val="001546E5"/>
    <w:rsid w:val="001550B9"/>
    <w:rsid w:val="0015593C"/>
    <w:rsid w:val="00157E4B"/>
    <w:rsid w:val="00161F14"/>
    <w:rsid w:val="001626E3"/>
    <w:rsid w:val="00162A63"/>
    <w:rsid w:val="00163B51"/>
    <w:rsid w:val="00163B87"/>
    <w:rsid w:val="0016404D"/>
    <w:rsid w:val="00164859"/>
    <w:rsid w:val="00164B98"/>
    <w:rsid w:val="00164FA1"/>
    <w:rsid w:val="0016753C"/>
    <w:rsid w:val="0016754F"/>
    <w:rsid w:val="00170741"/>
    <w:rsid w:val="00171B11"/>
    <w:rsid w:val="001739ED"/>
    <w:rsid w:val="001760E7"/>
    <w:rsid w:val="00177BA2"/>
    <w:rsid w:val="00181A9A"/>
    <w:rsid w:val="001857FA"/>
    <w:rsid w:val="001864B5"/>
    <w:rsid w:val="00187E3B"/>
    <w:rsid w:val="00191177"/>
    <w:rsid w:val="0019445B"/>
    <w:rsid w:val="001946CF"/>
    <w:rsid w:val="00194A12"/>
    <w:rsid w:val="001952B6"/>
    <w:rsid w:val="00195B06"/>
    <w:rsid w:val="00195FD6"/>
    <w:rsid w:val="00196728"/>
    <w:rsid w:val="0019706B"/>
    <w:rsid w:val="001976D9"/>
    <w:rsid w:val="001A16E0"/>
    <w:rsid w:val="001A3BF3"/>
    <w:rsid w:val="001A3E10"/>
    <w:rsid w:val="001A4183"/>
    <w:rsid w:val="001A5438"/>
    <w:rsid w:val="001A5F83"/>
    <w:rsid w:val="001A747E"/>
    <w:rsid w:val="001B024C"/>
    <w:rsid w:val="001B0978"/>
    <w:rsid w:val="001B0E1A"/>
    <w:rsid w:val="001B1BE4"/>
    <w:rsid w:val="001B3939"/>
    <w:rsid w:val="001B547E"/>
    <w:rsid w:val="001C0C96"/>
    <w:rsid w:val="001C2957"/>
    <w:rsid w:val="001C5632"/>
    <w:rsid w:val="001C6080"/>
    <w:rsid w:val="001C6741"/>
    <w:rsid w:val="001C6777"/>
    <w:rsid w:val="001C6D0A"/>
    <w:rsid w:val="001C7258"/>
    <w:rsid w:val="001D13C1"/>
    <w:rsid w:val="001D2E15"/>
    <w:rsid w:val="001D75DC"/>
    <w:rsid w:val="001E02A8"/>
    <w:rsid w:val="001E075B"/>
    <w:rsid w:val="001E166B"/>
    <w:rsid w:val="001E3422"/>
    <w:rsid w:val="001E444C"/>
    <w:rsid w:val="001E5696"/>
    <w:rsid w:val="001E5A89"/>
    <w:rsid w:val="001E5E67"/>
    <w:rsid w:val="001E61B8"/>
    <w:rsid w:val="001E69BF"/>
    <w:rsid w:val="001E7178"/>
    <w:rsid w:val="001E79CC"/>
    <w:rsid w:val="001F09FA"/>
    <w:rsid w:val="001F1450"/>
    <w:rsid w:val="001F2179"/>
    <w:rsid w:val="001F2A2A"/>
    <w:rsid w:val="001F2E0E"/>
    <w:rsid w:val="001F3CE2"/>
    <w:rsid w:val="001F427B"/>
    <w:rsid w:val="001F48C9"/>
    <w:rsid w:val="001F4A0B"/>
    <w:rsid w:val="001F5141"/>
    <w:rsid w:val="001F54F1"/>
    <w:rsid w:val="001F65EB"/>
    <w:rsid w:val="001F6962"/>
    <w:rsid w:val="002004A7"/>
    <w:rsid w:val="00202C2E"/>
    <w:rsid w:val="00203D3E"/>
    <w:rsid w:val="002054CF"/>
    <w:rsid w:val="00206A5B"/>
    <w:rsid w:val="0020798C"/>
    <w:rsid w:val="00207D2C"/>
    <w:rsid w:val="002108F8"/>
    <w:rsid w:val="00210D17"/>
    <w:rsid w:val="00212993"/>
    <w:rsid w:val="00212AC5"/>
    <w:rsid w:val="0021477A"/>
    <w:rsid w:val="00214D50"/>
    <w:rsid w:val="00214DB3"/>
    <w:rsid w:val="00215F5E"/>
    <w:rsid w:val="00217331"/>
    <w:rsid w:val="00220CCC"/>
    <w:rsid w:val="002211DD"/>
    <w:rsid w:val="00221A34"/>
    <w:rsid w:val="00221F39"/>
    <w:rsid w:val="002236F0"/>
    <w:rsid w:val="00230CF5"/>
    <w:rsid w:val="00232830"/>
    <w:rsid w:val="00233404"/>
    <w:rsid w:val="00233704"/>
    <w:rsid w:val="002345A8"/>
    <w:rsid w:val="00235C35"/>
    <w:rsid w:val="0023659E"/>
    <w:rsid w:val="00236BAD"/>
    <w:rsid w:val="00236CCB"/>
    <w:rsid w:val="002400EB"/>
    <w:rsid w:val="00240500"/>
    <w:rsid w:val="002417C3"/>
    <w:rsid w:val="002435F7"/>
    <w:rsid w:val="002438B5"/>
    <w:rsid w:val="00245BC3"/>
    <w:rsid w:val="00245C6E"/>
    <w:rsid w:val="00250A74"/>
    <w:rsid w:val="00250D31"/>
    <w:rsid w:val="002515E7"/>
    <w:rsid w:val="00260B9B"/>
    <w:rsid w:val="002631BB"/>
    <w:rsid w:val="002666D0"/>
    <w:rsid w:val="00267777"/>
    <w:rsid w:val="00267D67"/>
    <w:rsid w:val="00271541"/>
    <w:rsid w:val="0027230C"/>
    <w:rsid w:val="00272ADE"/>
    <w:rsid w:val="00273DC4"/>
    <w:rsid w:val="00275B0E"/>
    <w:rsid w:val="0027603E"/>
    <w:rsid w:val="00281BF6"/>
    <w:rsid w:val="002832AB"/>
    <w:rsid w:val="00283B16"/>
    <w:rsid w:val="00284A44"/>
    <w:rsid w:val="00285E7C"/>
    <w:rsid w:val="002862A5"/>
    <w:rsid w:val="002900A6"/>
    <w:rsid w:val="0029105A"/>
    <w:rsid w:val="002914EA"/>
    <w:rsid w:val="002922E2"/>
    <w:rsid w:val="0029388E"/>
    <w:rsid w:val="00294100"/>
    <w:rsid w:val="002945C1"/>
    <w:rsid w:val="00295E87"/>
    <w:rsid w:val="002976E2"/>
    <w:rsid w:val="00297783"/>
    <w:rsid w:val="002A212C"/>
    <w:rsid w:val="002A29EE"/>
    <w:rsid w:val="002A5BE4"/>
    <w:rsid w:val="002A6852"/>
    <w:rsid w:val="002A7133"/>
    <w:rsid w:val="002A7C05"/>
    <w:rsid w:val="002A7D53"/>
    <w:rsid w:val="002B3442"/>
    <w:rsid w:val="002C0AC0"/>
    <w:rsid w:val="002C2D6F"/>
    <w:rsid w:val="002C3604"/>
    <w:rsid w:val="002C3D86"/>
    <w:rsid w:val="002C622B"/>
    <w:rsid w:val="002C720A"/>
    <w:rsid w:val="002C7C7F"/>
    <w:rsid w:val="002D00EB"/>
    <w:rsid w:val="002D1C35"/>
    <w:rsid w:val="002D2753"/>
    <w:rsid w:val="002D3359"/>
    <w:rsid w:val="002D3446"/>
    <w:rsid w:val="002D627C"/>
    <w:rsid w:val="002D7842"/>
    <w:rsid w:val="002E0351"/>
    <w:rsid w:val="002E0EFD"/>
    <w:rsid w:val="002E1732"/>
    <w:rsid w:val="002E227D"/>
    <w:rsid w:val="002E2D7B"/>
    <w:rsid w:val="002E4D2C"/>
    <w:rsid w:val="002F2790"/>
    <w:rsid w:val="002F2FC6"/>
    <w:rsid w:val="002F5150"/>
    <w:rsid w:val="002F5A08"/>
    <w:rsid w:val="002F5AA6"/>
    <w:rsid w:val="002F61B9"/>
    <w:rsid w:val="00300138"/>
    <w:rsid w:val="003007A4"/>
    <w:rsid w:val="0030269B"/>
    <w:rsid w:val="00303DD9"/>
    <w:rsid w:val="00304CCD"/>
    <w:rsid w:val="00305018"/>
    <w:rsid w:val="00305702"/>
    <w:rsid w:val="00306856"/>
    <w:rsid w:val="00306FD8"/>
    <w:rsid w:val="0030705D"/>
    <w:rsid w:val="00307A5C"/>
    <w:rsid w:val="00307C95"/>
    <w:rsid w:val="00312DB3"/>
    <w:rsid w:val="00314063"/>
    <w:rsid w:val="003162EE"/>
    <w:rsid w:val="0031636A"/>
    <w:rsid w:val="00316A00"/>
    <w:rsid w:val="0031759E"/>
    <w:rsid w:val="0032135D"/>
    <w:rsid w:val="003222A9"/>
    <w:rsid w:val="0032261C"/>
    <w:rsid w:val="003250AC"/>
    <w:rsid w:val="0033198A"/>
    <w:rsid w:val="003320E3"/>
    <w:rsid w:val="003321FE"/>
    <w:rsid w:val="00332514"/>
    <w:rsid w:val="0033295D"/>
    <w:rsid w:val="0033388C"/>
    <w:rsid w:val="003357C3"/>
    <w:rsid w:val="003364E4"/>
    <w:rsid w:val="003377F0"/>
    <w:rsid w:val="0033797E"/>
    <w:rsid w:val="00337B3C"/>
    <w:rsid w:val="00340B46"/>
    <w:rsid w:val="0034170F"/>
    <w:rsid w:val="00342C7F"/>
    <w:rsid w:val="00343F6C"/>
    <w:rsid w:val="00346302"/>
    <w:rsid w:val="003525BB"/>
    <w:rsid w:val="003549B5"/>
    <w:rsid w:val="0035595E"/>
    <w:rsid w:val="003563BF"/>
    <w:rsid w:val="00356A07"/>
    <w:rsid w:val="00361321"/>
    <w:rsid w:val="00361EB0"/>
    <w:rsid w:val="00363099"/>
    <w:rsid w:val="0036341D"/>
    <w:rsid w:val="00363B0D"/>
    <w:rsid w:val="00363D19"/>
    <w:rsid w:val="00365769"/>
    <w:rsid w:val="00366F31"/>
    <w:rsid w:val="00367957"/>
    <w:rsid w:val="00370FAF"/>
    <w:rsid w:val="00371346"/>
    <w:rsid w:val="0037157C"/>
    <w:rsid w:val="00371858"/>
    <w:rsid w:val="003775D5"/>
    <w:rsid w:val="00380538"/>
    <w:rsid w:val="00380CDB"/>
    <w:rsid w:val="003847CD"/>
    <w:rsid w:val="00385FE8"/>
    <w:rsid w:val="00386225"/>
    <w:rsid w:val="00387B4E"/>
    <w:rsid w:val="00390703"/>
    <w:rsid w:val="00392BC9"/>
    <w:rsid w:val="00393156"/>
    <w:rsid w:val="003934FB"/>
    <w:rsid w:val="003937FC"/>
    <w:rsid w:val="00395614"/>
    <w:rsid w:val="00395B75"/>
    <w:rsid w:val="003965E4"/>
    <w:rsid w:val="003969E3"/>
    <w:rsid w:val="003A1C7A"/>
    <w:rsid w:val="003A1DE6"/>
    <w:rsid w:val="003A2B8D"/>
    <w:rsid w:val="003A5B82"/>
    <w:rsid w:val="003A6381"/>
    <w:rsid w:val="003A75BE"/>
    <w:rsid w:val="003B403F"/>
    <w:rsid w:val="003B6C0B"/>
    <w:rsid w:val="003B7A02"/>
    <w:rsid w:val="003C0770"/>
    <w:rsid w:val="003C1AD5"/>
    <w:rsid w:val="003C27A5"/>
    <w:rsid w:val="003C5A9B"/>
    <w:rsid w:val="003C6348"/>
    <w:rsid w:val="003C7427"/>
    <w:rsid w:val="003D00CA"/>
    <w:rsid w:val="003D1E81"/>
    <w:rsid w:val="003D2030"/>
    <w:rsid w:val="003D282E"/>
    <w:rsid w:val="003D4595"/>
    <w:rsid w:val="003D46FB"/>
    <w:rsid w:val="003D4855"/>
    <w:rsid w:val="003D48DA"/>
    <w:rsid w:val="003D720C"/>
    <w:rsid w:val="003E4573"/>
    <w:rsid w:val="003E494F"/>
    <w:rsid w:val="003E4D18"/>
    <w:rsid w:val="003E53FB"/>
    <w:rsid w:val="003E67FA"/>
    <w:rsid w:val="003F017A"/>
    <w:rsid w:val="003F0475"/>
    <w:rsid w:val="003F1E9D"/>
    <w:rsid w:val="003F3636"/>
    <w:rsid w:val="004004EE"/>
    <w:rsid w:val="00400600"/>
    <w:rsid w:val="004007F1"/>
    <w:rsid w:val="004008BD"/>
    <w:rsid w:val="00400DA8"/>
    <w:rsid w:val="004023C9"/>
    <w:rsid w:val="00402CD1"/>
    <w:rsid w:val="00402DEA"/>
    <w:rsid w:val="0040388A"/>
    <w:rsid w:val="00404DF3"/>
    <w:rsid w:val="00406F2C"/>
    <w:rsid w:val="0041053A"/>
    <w:rsid w:val="004107B6"/>
    <w:rsid w:val="00411F2C"/>
    <w:rsid w:val="0041214E"/>
    <w:rsid w:val="0041359C"/>
    <w:rsid w:val="00413DB8"/>
    <w:rsid w:val="0041558B"/>
    <w:rsid w:val="00420506"/>
    <w:rsid w:val="0042172C"/>
    <w:rsid w:val="00421F96"/>
    <w:rsid w:val="00422469"/>
    <w:rsid w:val="00422F19"/>
    <w:rsid w:val="00423980"/>
    <w:rsid w:val="004254BD"/>
    <w:rsid w:val="00426496"/>
    <w:rsid w:val="00427A1C"/>
    <w:rsid w:val="00431174"/>
    <w:rsid w:val="004324FC"/>
    <w:rsid w:val="004329E1"/>
    <w:rsid w:val="004362F5"/>
    <w:rsid w:val="00436650"/>
    <w:rsid w:val="00436EB6"/>
    <w:rsid w:val="0044024C"/>
    <w:rsid w:val="00440945"/>
    <w:rsid w:val="00443517"/>
    <w:rsid w:val="00444914"/>
    <w:rsid w:val="00444C5F"/>
    <w:rsid w:val="00445F17"/>
    <w:rsid w:val="00446631"/>
    <w:rsid w:val="004470FA"/>
    <w:rsid w:val="00447B04"/>
    <w:rsid w:val="00447C04"/>
    <w:rsid w:val="00451923"/>
    <w:rsid w:val="00452B76"/>
    <w:rsid w:val="00456338"/>
    <w:rsid w:val="004568F3"/>
    <w:rsid w:val="00461C05"/>
    <w:rsid w:val="00462820"/>
    <w:rsid w:val="004629AA"/>
    <w:rsid w:val="00464101"/>
    <w:rsid w:val="00466A5F"/>
    <w:rsid w:val="0047014C"/>
    <w:rsid w:val="0047146C"/>
    <w:rsid w:val="00471B94"/>
    <w:rsid w:val="00471EF4"/>
    <w:rsid w:val="004735CE"/>
    <w:rsid w:val="00474828"/>
    <w:rsid w:val="0048346E"/>
    <w:rsid w:val="00484C6E"/>
    <w:rsid w:val="0048534B"/>
    <w:rsid w:val="004853D9"/>
    <w:rsid w:val="0048747B"/>
    <w:rsid w:val="00487805"/>
    <w:rsid w:val="00490898"/>
    <w:rsid w:val="0049162B"/>
    <w:rsid w:val="0049166C"/>
    <w:rsid w:val="0049315B"/>
    <w:rsid w:val="00494757"/>
    <w:rsid w:val="00494CBB"/>
    <w:rsid w:val="00495432"/>
    <w:rsid w:val="004965FB"/>
    <w:rsid w:val="00497600"/>
    <w:rsid w:val="004979BE"/>
    <w:rsid w:val="00497F71"/>
    <w:rsid w:val="004A1621"/>
    <w:rsid w:val="004A1855"/>
    <w:rsid w:val="004A1ADD"/>
    <w:rsid w:val="004A1F23"/>
    <w:rsid w:val="004A4707"/>
    <w:rsid w:val="004A4AE1"/>
    <w:rsid w:val="004A502A"/>
    <w:rsid w:val="004A6BB3"/>
    <w:rsid w:val="004A7082"/>
    <w:rsid w:val="004A79F8"/>
    <w:rsid w:val="004B15D6"/>
    <w:rsid w:val="004B497A"/>
    <w:rsid w:val="004B545B"/>
    <w:rsid w:val="004B5FA1"/>
    <w:rsid w:val="004B6B3F"/>
    <w:rsid w:val="004C12B4"/>
    <w:rsid w:val="004C130A"/>
    <w:rsid w:val="004C226E"/>
    <w:rsid w:val="004C24D0"/>
    <w:rsid w:val="004C25FC"/>
    <w:rsid w:val="004C319E"/>
    <w:rsid w:val="004C34A2"/>
    <w:rsid w:val="004C49F7"/>
    <w:rsid w:val="004C5421"/>
    <w:rsid w:val="004C623C"/>
    <w:rsid w:val="004C7777"/>
    <w:rsid w:val="004C7CB6"/>
    <w:rsid w:val="004D0BFB"/>
    <w:rsid w:val="004D13DC"/>
    <w:rsid w:val="004D2DEE"/>
    <w:rsid w:val="004D392B"/>
    <w:rsid w:val="004D45A8"/>
    <w:rsid w:val="004D4A82"/>
    <w:rsid w:val="004D51B9"/>
    <w:rsid w:val="004D53B1"/>
    <w:rsid w:val="004D58D8"/>
    <w:rsid w:val="004E029B"/>
    <w:rsid w:val="004E0DF1"/>
    <w:rsid w:val="004E1E84"/>
    <w:rsid w:val="004E223A"/>
    <w:rsid w:val="004E3189"/>
    <w:rsid w:val="004E4D30"/>
    <w:rsid w:val="004E57CE"/>
    <w:rsid w:val="004E60B2"/>
    <w:rsid w:val="004E67BC"/>
    <w:rsid w:val="004E703C"/>
    <w:rsid w:val="004E735A"/>
    <w:rsid w:val="004F0AA1"/>
    <w:rsid w:val="004F0B85"/>
    <w:rsid w:val="004F46FF"/>
    <w:rsid w:val="004F52AC"/>
    <w:rsid w:val="004F6746"/>
    <w:rsid w:val="004F7A31"/>
    <w:rsid w:val="005005E3"/>
    <w:rsid w:val="005129D9"/>
    <w:rsid w:val="00512BC7"/>
    <w:rsid w:val="0051345A"/>
    <w:rsid w:val="00516FA8"/>
    <w:rsid w:val="0051718D"/>
    <w:rsid w:val="00517B8D"/>
    <w:rsid w:val="005206BB"/>
    <w:rsid w:val="0052080A"/>
    <w:rsid w:val="005223B0"/>
    <w:rsid w:val="00523A60"/>
    <w:rsid w:val="005260AE"/>
    <w:rsid w:val="005278F7"/>
    <w:rsid w:val="005306B8"/>
    <w:rsid w:val="00531BEE"/>
    <w:rsid w:val="005333C2"/>
    <w:rsid w:val="00533CE6"/>
    <w:rsid w:val="00533FF5"/>
    <w:rsid w:val="00534456"/>
    <w:rsid w:val="005353AA"/>
    <w:rsid w:val="00541BEC"/>
    <w:rsid w:val="005420E0"/>
    <w:rsid w:val="005420FF"/>
    <w:rsid w:val="0054244F"/>
    <w:rsid w:val="00544712"/>
    <w:rsid w:val="005450AA"/>
    <w:rsid w:val="00545570"/>
    <w:rsid w:val="0055032E"/>
    <w:rsid w:val="00551508"/>
    <w:rsid w:val="00552ED1"/>
    <w:rsid w:val="00554526"/>
    <w:rsid w:val="005557C6"/>
    <w:rsid w:val="00555916"/>
    <w:rsid w:val="005562F1"/>
    <w:rsid w:val="005563D7"/>
    <w:rsid w:val="005567C3"/>
    <w:rsid w:val="00556887"/>
    <w:rsid w:val="00556936"/>
    <w:rsid w:val="00557B84"/>
    <w:rsid w:val="00557D7C"/>
    <w:rsid w:val="00561C65"/>
    <w:rsid w:val="005630E3"/>
    <w:rsid w:val="00563121"/>
    <w:rsid w:val="0056392B"/>
    <w:rsid w:val="0056585D"/>
    <w:rsid w:val="00566E4E"/>
    <w:rsid w:val="00567370"/>
    <w:rsid w:val="00567ACD"/>
    <w:rsid w:val="00567FEA"/>
    <w:rsid w:val="00571665"/>
    <w:rsid w:val="00572C43"/>
    <w:rsid w:val="00575104"/>
    <w:rsid w:val="00582FB1"/>
    <w:rsid w:val="0058511F"/>
    <w:rsid w:val="00585605"/>
    <w:rsid w:val="0058790C"/>
    <w:rsid w:val="0059157B"/>
    <w:rsid w:val="0059161B"/>
    <w:rsid w:val="00593B93"/>
    <w:rsid w:val="00593EDF"/>
    <w:rsid w:val="005949A6"/>
    <w:rsid w:val="0059505B"/>
    <w:rsid w:val="00595475"/>
    <w:rsid w:val="00595895"/>
    <w:rsid w:val="005A0555"/>
    <w:rsid w:val="005A21CD"/>
    <w:rsid w:val="005A3B5E"/>
    <w:rsid w:val="005A47A3"/>
    <w:rsid w:val="005A4DBF"/>
    <w:rsid w:val="005A6613"/>
    <w:rsid w:val="005A6E69"/>
    <w:rsid w:val="005A7585"/>
    <w:rsid w:val="005B04B7"/>
    <w:rsid w:val="005B0761"/>
    <w:rsid w:val="005B374E"/>
    <w:rsid w:val="005B4482"/>
    <w:rsid w:val="005B65A1"/>
    <w:rsid w:val="005B7F2F"/>
    <w:rsid w:val="005B7FE2"/>
    <w:rsid w:val="005C11A3"/>
    <w:rsid w:val="005C11CA"/>
    <w:rsid w:val="005C428F"/>
    <w:rsid w:val="005C4934"/>
    <w:rsid w:val="005C556F"/>
    <w:rsid w:val="005D0424"/>
    <w:rsid w:val="005D1ECE"/>
    <w:rsid w:val="005D225F"/>
    <w:rsid w:val="005D35B0"/>
    <w:rsid w:val="005D404A"/>
    <w:rsid w:val="005D47B0"/>
    <w:rsid w:val="005D4B4A"/>
    <w:rsid w:val="005D4D6B"/>
    <w:rsid w:val="005D6E29"/>
    <w:rsid w:val="005E1843"/>
    <w:rsid w:val="005E20D1"/>
    <w:rsid w:val="005E414E"/>
    <w:rsid w:val="005E4733"/>
    <w:rsid w:val="005E5955"/>
    <w:rsid w:val="005E64AE"/>
    <w:rsid w:val="005F067D"/>
    <w:rsid w:val="005F1546"/>
    <w:rsid w:val="005F39EC"/>
    <w:rsid w:val="005F3CA3"/>
    <w:rsid w:val="005F4C53"/>
    <w:rsid w:val="005F5063"/>
    <w:rsid w:val="005F5864"/>
    <w:rsid w:val="005F7796"/>
    <w:rsid w:val="006006B8"/>
    <w:rsid w:val="00605799"/>
    <w:rsid w:val="00605B27"/>
    <w:rsid w:val="00605CF7"/>
    <w:rsid w:val="00607FD8"/>
    <w:rsid w:val="00610062"/>
    <w:rsid w:val="00610552"/>
    <w:rsid w:val="00612F2C"/>
    <w:rsid w:val="0061505F"/>
    <w:rsid w:val="006163CF"/>
    <w:rsid w:val="0061708B"/>
    <w:rsid w:val="00617178"/>
    <w:rsid w:val="0061751B"/>
    <w:rsid w:val="006178FE"/>
    <w:rsid w:val="00621711"/>
    <w:rsid w:val="0062297D"/>
    <w:rsid w:val="00624F14"/>
    <w:rsid w:val="006251CD"/>
    <w:rsid w:val="00625B98"/>
    <w:rsid w:val="0063039A"/>
    <w:rsid w:val="006338FE"/>
    <w:rsid w:val="00633DE6"/>
    <w:rsid w:val="00634604"/>
    <w:rsid w:val="00640A10"/>
    <w:rsid w:val="00645879"/>
    <w:rsid w:val="00645D96"/>
    <w:rsid w:val="0064695D"/>
    <w:rsid w:val="00646E72"/>
    <w:rsid w:val="00651463"/>
    <w:rsid w:val="00652E86"/>
    <w:rsid w:val="00653A59"/>
    <w:rsid w:val="00653F5C"/>
    <w:rsid w:val="00654462"/>
    <w:rsid w:val="006545E3"/>
    <w:rsid w:val="0065589F"/>
    <w:rsid w:val="00660421"/>
    <w:rsid w:val="006608C0"/>
    <w:rsid w:val="0066157F"/>
    <w:rsid w:val="00661E38"/>
    <w:rsid w:val="00662EC6"/>
    <w:rsid w:val="006645FC"/>
    <w:rsid w:val="00665211"/>
    <w:rsid w:val="006660B7"/>
    <w:rsid w:val="00666355"/>
    <w:rsid w:val="00666AA1"/>
    <w:rsid w:val="006706B6"/>
    <w:rsid w:val="00670E13"/>
    <w:rsid w:val="0067249B"/>
    <w:rsid w:val="006746D9"/>
    <w:rsid w:val="00675575"/>
    <w:rsid w:val="00676A35"/>
    <w:rsid w:val="00676B87"/>
    <w:rsid w:val="00677EE0"/>
    <w:rsid w:val="00678A24"/>
    <w:rsid w:val="0068042E"/>
    <w:rsid w:val="00680D85"/>
    <w:rsid w:val="00680DFB"/>
    <w:rsid w:val="0068247E"/>
    <w:rsid w:val="0068456E"/>
    <w:rsid w:val="00686D2C"/>
    <w:rsid w:val="0068762B"/>
    <w:rsid w:val="00690675"/>
    <w:rsid w:val="0069179C"/>
    <w:rsid w:val="00692792"/>
    <w:rsid w:val="00693AE8"/>
    <w:rsid w:val="006973EB"/>
    <w:rsid w:val="006A0287"/>
    <w:rsid w:val="006A0FF3"/>
    <w:rsid w:val="006A1C58"/>
    <w:rsid w:val="006A2BF7"/>
    <w:rsid w:val="006A3383"/>
    <w:rsid w:val="006B4570"/>
    <w:rsid w:val="006B58AF"/>
    <w:rsid w:val="006B5921"/>
    <w:rsid w:val="006B5B56"/>
    <w:rsid w:val="006C059A"/>
    <w:rsid w:val="006C27DB"/>
    <w:rsid w:val="006C4C02"/>
    <w:rsid w:val="006C5727"/>
    <w:rsid w:val="006C596B"/>
    <w:rsid w:val="006C6134"/>
    <w:rsid w:val="006C6D95"/>
    <w:rsid w:val="006D14B0"/>
    <w:rsid w:val="006D1F5D"/>
    <w:rsid w:val="006D39B9"/>
    <w:rsid w:val="006D676F"/>
    <w:rsid w:val="006D7550"/>
    <w:rsid w:val="006D7951"/>
    <w:rsid w:val="006E3186"/>
    <w:rsid w:val="006E58AA"/>
    <w:rsid w:val="006E6E31"/>
    <w:rsid w:val="006F042E"/>
    <w:rsid w:val="006F0469"/>
    <w:rsid w:val="006F2C20"/>
    <w:rsid w:val="006F6028"/>
    <w:rsid w:val="007003CF"/>
    <w:rsid w:val="00701A83"/>
    <w:rsid w:val="007020B8"/>
    <w:rsid w:val="00702575"/>
    <w:rsid w:val="00703498"/>
    <w:rsid w:val="00705479"/>
    <w:rsid w:val="00705838"/>
    <w:rsid w:val="00705AAE"/>
    <w:rsid w:val="0070694E"/>
    <w:rsid w:val="00706B97"/>
    <w:rsid w:val="00706BE0"/>
    <w:rsid w:val="00706FD3"/>
    <w:rsid w:val="00710616"/>
    <w:rsid w:val="00712AFE"/>
    <w:rsid w:val="00712E1C"/>
    <w:rsid w:val="00713A1A"/>
    <w:rsid w:val="0071529F"/>
    <w:rsid w:val="0071729F"/>
    <w:rsid w:val="00717673"/>
    <w:rsid w:val="007207EC"/>
    <w:rsid w:val="00720989"/>
    <w:rsid w:val="007225A6"/>
    <w:rsid w:val="007275EF"/>
    <w:rsid w:val="00730BC4"/>
    <w:rsid w:val="0073115F"/>
    <w:rsid w:val="00732265"/>
    <w:rsid w:val="007347B2"/>
    <w:rsid w:val="00735058"/>
    <w:rsid w:val="00736317"/>
    <w:rsid w:val="00736ECF"/>
    <w:rsid w:val="0073791A"/>
    <w:rsid w:val="00740BE0"/>
    <w:rsid w:val="00742416"/>
    <w:rsid w:val="007430DE"/>
    <w:rsid w:val="00743140"/>
    <w:rsid w:val="00743375"/>
    <w:rsid w:val="00746CAB"/>
    <w:rsid w:val="007476D6"/>
    <w:rsid w:val="00752956"/>
    <w:rsid w:val="00754905"/>
    <w:rsid w:val="00756E12"/>
    <w:rsid w:val="007570AF"/>
    <w:rsid w:val="007600C9"/>
    <w:rsid w:val="007641F5"/>
    <w:rsid w:val="007658F2"/>
    <w:rsid w:val="00765E2C"/>
    <w:rsid w:val="00766030"/>
    <w:rsid w:val="00767755"/>
    <w:rsid w:val="0077368B"/>
    <w:rsid w:val="00773F6E"/>
    <w:rsid w:val="0077461F"/>
    <w:rsid w:val="00774933"/>
    <w:rsid w:val="00775231"/>
    <w:rsid w:val="0077640A"/>
    <w:rsid w:val="0077772D"/>
    <w:rsid w:val="00781A61"/>
    <w:rsid w:val="00783165"/>
    <w:rsid w:val="007861DF"/>
    <w:rsid w:val="00786A79"/>
    <w:rsid w:val="00787A5E"/>
    <w:rsid w:val="00790D82"/>
    <w:rsid w:val="00794F78"/>
    <w:rsid w:val="00797F89"/>
    <w:rsid w:val="007A1CDE"/>
    <w:rsid w:val="007A438F"/>
    <w:rsid w:val="007A4A19"/>
    <w:rsid w:val="007A7DD9"/>
    <w:rsid w:val="007B0E9F"/>
    <w:rsid w:val="007B10F7"/>
    <w:rsid w:val="007B1231"/>
    <w:rsid w:val="007B12C6"/>
    <w:rsid w:val="007B148D"/>
    <w:rsid w:val="007B2265"/>
    <w:rsid w:val="007B4497"/>
    <w:rsid w:val="007B4C35"/>
    <w:rsid w:val="007B525C"/>
    <w:rsid w:val="007B78CE"/>
    <w:rsid w:val="007C0A4C"/>
    <w:rsid w:val="007C1D23"/>
    <w:rsid w:val="007C1EB3"/>
    <w:rsid w:val="007C1F6B"/>
    <w:rsid w:val="007C400B"/>
    <w:rsid w:val="007C5426"/>
    <w:rsid w:val="007C5AF5"/>
    <w:rsid w:val="007C5D2E"/>
    <w:rsid w:val="007C5E26"/>
    <w:rsid w:val="007C64D5"/>
    <w:rsid w:val="007D14F1"/>
    <w:rsid w:val="007D41F0"/>
    <w:rsid w:val="007D45C1"/>
    <w:rsid w:val="007D4ED3"/>
    <w:rsid w:val="007D5312"/>
    <w:rsid w:val="007D56AF"/>
    <w:rsid w:val="007D6827"/>
    <w:rsid w:val="007D6E0C"/>
    <w:rsid w:val="007D788F"/>
    <w:rsid w:val="007D7ACF"/>
    <w:rsid w:val="007E0193"/>
    <w:rsid w:val="007E0A44"/>
    <w:rsid w:val="007E208D"/>
    <w:rsid w:val="007E23B9"/>
    <w:rsid w:val="007E326E"/>
    <w:rsid w:val="007E34EA"/>
    <w:rsid w:val="007E4887"/>
    <w:rsid w:val="007F0524"/>
    <w:rsid w:val="007F05B8"/>
    <w:rsid w:val="007F05D2"/>
    <w:rsid w:val="007F09FD"/>
    <w:rsid w:val="007F2CF1"/>
    <w:rsid w:val="007F4157"/>
    <w:rsid w:val="007F6EA6"/>
    <w:rsid w:val="00800174"/>
    <w:rsid w:val="00800DD1"/>
    <w:rsid w:val="00803AC3"/>
    <w:rsid w:val="008046A0"/>
    <w:rsid w:val="008066AA"/>
    <w:rsid w:val="00806BEA"/>
    <w:rsid w:val="00806CFE"/>
    <w:rsid w:val="008115C3"/>
    <w:rsid w:val="00813848"/>
    <w:rsid w:val="008147A0"/>
    <w:rsid w:val="00815628"/>
    <w:rsid w:val="00815B23"/>
    <w:rsid w:val="008169A6"/>
    <w:rsid w:val="0082156B"/>
    <w:rsid w:val="00821B46"/>
    <w:rsid w:val="008227E5"/>
    <w:rsid w:val="0083038D"/>
    <w:rsid w:val="00830EAA"/>
    <w:rsid w:val="0083162B"/>
    <w:rsid w:val="00832208"/>
    <w:rsid w:val="00841D8C"/>
    <w:rsid w:val="00841DAD"/>
    <w:rsid w:val="008427F0"/>
    <w:rsid w:val="008428C4"/>
    <w:rsid w:val="008429D4"/>
    <w:rsid w:val="008433FF"/>
    <w:rsid w:val="008449DF"/>
    <w:rsid w:val="0084609F"/>
    <w:rsid w:val="00847025"/>
    <w:rsid w:val="00847D90"/>
    <w:rsid w:val="00850F55"/>
    <w:rsid w:val="00853F95"/>
    <w:rsid w:val="00854CEA"/>
    <w:rsid w:val="00856F81"/>
    <w:rsid w:val="00860935"/>
    <w:rsid w:val="008616F3"/>
    <w:rsid w:val="008623B1"/>
    <w:rsid w:val="00862661"/>
    <w:rsid w:val="00862700"/>
    <w:rsid w:val="008634A1"/>
    <w:rsid w:val="00864767"/>
    <w:rsid w:val="00864AD0"/>
    <w:rsid w:val="00864D68"/>
    <w:rsid w:val="00864F7C"/>
    <w:rsid w:val="0086707A"/>
    <w:rsid w:val="008705FE"/>
    <w:rsid w:val="0087232F"/>
    <w:rsid w:val="0087239D"/>
    <w:rsid w:val="00872F39"/>
    <w:rsid w:val="0087344F"/>
    <w:rsid w:val="0087672D"/>
    <w:rsid w:val="008768AE"/>
    <w:rsid w:val="00880D1F"/>
    <w:rsid w:val="0088291E"/>
    <w:rsid w:val="008832AA"/>
    <w:rsid w:val="00885E84"/>
    <w:rsid w:val="0089200D"/>
    <w:rsid w:val="00894262"/>
    <w:rsid w:val="00894BF2"/>
    <w:rsid w:val="00895511"/>
    <w:rsid w:val="00895740"/>
    <w:rsid w:val="0089600A"/>
    <w:rsid w:val="008A04A8"/>
    <w:rsid w:val="008A5C9C"/>
    <w:rsid w:val="008B1006"/>
    <w:rsid w:val="008B12C3"/>
    <w:rsid w:val="008B1448"/>
    <w:rsid w:val="008B2A9A"/>
    <w:rsid w:val="008B3A9A"/>
    <w:rsid w:val="008B4767"/>
    <w:rsid w:val="008B52A6"/>
    <w:rsid w:val="008B6375"/>
    <w:rsid w:val="008B7E73"/>
    <w:rsid w:val="008C165A"/>
    <w:rsid w:val="008C331E"/>
    <w:rsid w:val="008C51D5"/>
    <w:rsid w:val="008D000C"/>
    <w:rsid w:val="008D0D84"/>
    <w:rsid w:val="008D1292"/>
    <w:rsid w:val="008D1B5D"/>
    <w:rsid w:val="008D308B"/>
    <w:rsid w:val="008D3334"/>
    <w:rsid w:val="008D354D"/>
    <w:rsid w:val="008D3F85"/>
    <w:rsid w:val="008D5F8A"/>
    <w:rsid w:val="008E13E8"/>
    <w:rsid w:val="008E31E1"/>
    <w:rsid w:val="008E38FD"/>
    <w:rsid w:val="008E4DAA"/>
    <w:rsid w:val="008E53FA"/>
    <w:rsid w:val="008E735C"/>
    <w:rsid w:val="008E7B8B"/>
    <w:rsid w:val="008F3B94"/>
    <w:rsid w:val="008F5002"/>
    <w:rsid w:val="008F52F5"/>
    <w:rsid w:val="008F6661"/>
    <w:rsid w:val="00903687"/>
    <w:rsid w:val="00905C8E"/>
    <w:rsid w:val="009060F0"/>
    <w:rsid w:val="00910D31"/>
    <w:rsid w:val="009115AB"/>
    <w:rsid w:val="00912336"/>
    <w:rsid w:val="009128D5"/>
    <w:rsid w:val="009129CF"/>
    <w:rsid w:val="009164A3"/>
    <w:rsid w:val="0091713C"/>
    <w:rsid w:val="009172F6"/>
    <w:rsid w:val="00922F59"/>
    <w:rsid w:val="0092320F"/>
    <w:rsid w:val="0092659D"/>
    <w:rsid w:val="0092703F"/>
    <w:rsid w:val="00930869"/>
    <w:rsid w:val="009322DA"/>
    <w:rsid w:val="0093235E"/>
    <w:rsid w:val="0093761D"/>
    <w:rsid w:val="00937703"/>
    <w:rsid w:val="0093771A"/>
    <w:rsid w:val="00940467"/>
    <w:rsid w:val="00940B30"/>
    <w:rsid w:val="0094468A"/>
    <w:rsid w:val="00944E6B"/>
    <w:rsid w:val="0094605E"/>
    <w:rsid w:val="0094641E"/>
    <w:rsid w:val="0094763C"/>
    <w:rsid w:val="00953ABE"/>
    <w:rsid w:val="009542D9"/>
    <w:rsid w:val="00954C94"/>
    <w:rsid w:val="00956A02"/>
    <w:rsid w:val="00956DD7"/>
    <w:rsid w:val="009572F2"/>
    <w:rsid w:val="00960585"/>
    <w:rsid w:val="00960961"/>
    <w:rsid w:val="00961A30"/>
    <w:rsid w:val="00961E30"/>
    <w:rsid w:val="00963ABA"/>
    <w:rsid w:val="00964137"/>
    <w:rsid w:val="00965E0B"/>
    <w:rsid w:val="00966C88"/>
    <w:rsid w:val="00967F7F"/>
    <w:rsid w:val="00970733"/>
    <w:rsid w:val="009711A0"/>
    <w:rsid w:val="00971677"/>
    <w:rsid w:val="00972889"/>
    <w:rsid w:val="00974547"/>
    <w:rsid w:val="0097683D"/>
    <w:rsid w:val="00980FF5"/>
    <w:rsid w:val="00981378"/>
    <w:rsid w:val="0098415F"/>
    <w:rsid w:val="00984A8A"/>
    <w:rsid w:val="00985447"/>
    <w:rsid w:val="00985876"/>
    <w:rsid w:val="00986C85"/>
    <w:rsid w:val="009877D9"/>
    <w:rsid w:val="00987BC3"/>
    <w:rsid w:val="00991052"/>
    <w:rsid w:val="00991AD1"/>
    <w:rsid w:val="00991DE2"/>
    <w:rsid w:val="00992115"/>
    <w:rsid w:val="00992D54"/>
    <w:rsid w:val="0099324A"/>
    <w:rsid w:val="00993CA4"/>
    <w:rsid w:val="00994128"/>
    <w:rsid w:val="00994CB7"/>
    <w:rsid w:val="00995A1B"/>
    <w:rsid w:val="00997365"/>
    <w:rsid w:val="009976E0"/>
    <w:rsid w:val="009A04F8"/>
    <w:rsid w:val="009A0A08"/>
    <w:rsid w:val="009A0C27"/>
    <w:rsid w:val="009A2615"/>
    <w:rsid w:val="009A2FBA"/>
    <w:rsid w:val="009A38C0"/>
    <w:rsid w:val="009A4CB0"/>
    <w:rsid w:val="009A7420"/>
    <w:rsid w:val="009A74FF"/>
    <w:rsid w:val="009B0391"/>
    <w:rsid w:val="009B4B51"/>
    <w:rsid w:val="009B5D92"/>
    <w:rsid w:val="009B74CC"/>
    <w:rsid w:val="009B7888"/>
    <w:rsid w:val="009C54F2"/>
    <w:rsid w:val="009C5C32"/>
    <w:rsid w:val="009C6D00"/>
    <w:rsid w:val="009D16C6"/>
    <w:rsid w:val="009D33E9"/>
    <w:rsid w:val="009D58E3"/>
    <w:rsid w:val="009D5AAD"/>
    <w:rsid w:val="009D6278"/>
    <w:rsid w:val="009D6DBD"/>
    <w:rsid w:val="009D7736"/>
    <w:rsid w:val="009E0153"/>
    <w:rsid w:val="009E20E4"/>
    <w:rsid w:val="009E2A61"/>
    <w:rsid w:val="009E3224"/>
    <w:rsid w:val="009E3888"/>
    <w:rsid w:val="009E4906"/>
    <w:rsid w:val="009F169A"/>
    <w:rsid w:val="009F184B"/>
    <w:rsid w:val="009F25EE"/>
    <w:rsid w:val="009F34E2"/>
    <w:rsid w:val="009F44CD"/>
    <w:rsid w:val="009F5A71"/>
    <w:rsid w:val="009F68EB"/>
    <w:rsid w:val="00A01D7D"/>
    <w:rsid w:val="00A02A49"/>
    <w:rsid w:val="00A02F5D"/>
    <w:rsid w:val="00A057FD"/>
    <w:rsid w:val="00A12C87"/>
    <w:rsid w:val="00A13AB9"/>
    <w:rsid w:val="00A1568B"/>
    <w:rsid w:val="00A15A05"/>
    <w:rsid w:val="00A15D80"/>
    <w:rsid w:val="00A15EF9"/>
    <w:rsid w:val="00A17099"/>
    <w:rsid w:val="00A17279"/>
    <w:rsid w:val="00A17BA9"/>
    <w:rsid w:val="00A21CEE"/>
    <w:rsid w:val="00A21F56"/>
    <w:rsid w:val="00A23B02"/>
    <w:rsid w:val="00A24B40"/>
    <w:rsid w:val="00A24C55"/>
    <w:rsid w:val="00A254C7"/>
    <w:rsid w:val="00A26D88"/>
    <w:rsid w:val="00A27B94"/>
    <w:rsid w:val="00A27EBF"/>
    <w:rsid w:val="00A31780"/>
    <w:rsid w:val="00A32705"/>
    <w:rsid w:val="00A32F66"/>
    <w:rsid w:val="00A33B33"/>
    <w:rsid w:val="00A36440"/>
    <w:rsid w:val="00A3724E"/>
    <w:rsid w:val="00A377BC"/>
    <w:rsid w:val="00A37840"/>
    <w:rsid w:val="00A37C70"/>
    <w:rsid w:val="00A37D5F"/>
    <w:rsid w:val="00A41501"/>
    <w:rsid w:val="00A41F86"/>
    <w:rsid w:val="00A4340C"/>
    <w:rsid w:val="00A4681C"/>
    <w:rsid w:val="00A4776F"/>
    <w:rsid w:val="00A51E94"/>
    <w:rsid w:val="00A529E9"/>
    <w:rsid w:val="00A54310"/>
    <w:rsid w:val="00A55EDF"/>
    <w:rsid w:val="00A61E23"/>
    <w:rsid w:val="00A65AC3"/>
    <w:rsid w:val="00A66645"/>
    <w:rsid w:val="00A732C3"/>
    <w:rsid w:val="00A75BF5"/>
    <w:rsid w:val="00A75C29"/>
    <w:rsid w:val="00A76FC7"/>
    <w:rsid w:val="00A80F75"/>
    <w:rsid w:val="00A80F90"/>
    <w:rsid w:val="00A82BB2"/>
    <w:rsid w:val="00A8369F"/>
    <w:rsid w:val="00A83926"/>
    <w:rsid w:val="00A855D3"/>
    <w:rsid w:val="00A85A4C"/>
    <w:rsid w:val="00A90325"/>
    <w:rsid w:val="00A93988"/>
    <w:rsid w:val="00A93C0B"/>
    <w:rsid w:val="00A94C7E"/>
    <w:rsid w:val="00A97124"/>
    <w:rsid w:val="00AA016A"/>
    <w:rsid w:val="00AA594D"/>
    <w:rsid w:val="00AA751F"/>
    <w:rsid w:val="00AB3816"/>
    <w:rsid w:val="00AB458A"/>
    <w:rsid w:val="00AB4A85"/>
    <w:rsid w:val="00AB5839"/>
    <w:rsid w:val="00AC0267"/>
    <w:rsid w:val="00AC0510"/>
    <w:rsid w:val="00AC1E0E"/>
    <w:rsid w:val="00AC3F19"/>
    <w:rsid w:val="00AC573D"/>
    <w:rsid w:val="00AC6FBA"/>
    <w:rsid w:val="00AD01F2"/>
    <w:rsid w:val="00AD38E4"/>
    <w:rsid w:val="00AD440A"/>
    <w:rsid w:val="00AD45EE"/>
    <w:rsid w:val="00AD4E4D"/>
    <w:rsid w:val="00AD6EF9"/>
    <w:rsid w:val="00AD75E1"/>
    <w:rsid w:val="00AE037E"/>
    <w:rsid w:val="00AE2181"/>
    <w:rsid w:val="00AE371C"/>
    <w:rsid w:val="00AE5FC8"/>
    <w:rsid w:val="00AE76BF"/>
    <w:rsid w:val="00AF214F"/>
    <w:rsid w:val="00AF2407"/>
    <w:rsid w:val="00AF29C6"/>
    <w:rsid w:val="00AF2EE1"/>
    <w:rsid w:val="00AF386C"/>
    <w:rsid w:val="00AF72F6"/>
    <w:rsid w:val="00B0139E"/>
    <w:rsid w:val="00B03C9D"/>
    <w:rsid w:val="00B04F66"/>
    <w:rsid w:val="00B06075"/>
    <w:rsid w:val="00B063F6"/>
    <w:rsid w:val="00B118A3"/>
    <w:rsid w:val="00B12D2E"/>
    <w:rsid w:val="00B130B9"/>
    <w:rsid w:val="00B14589"/>
    <w:rsid w:val="00B15409"/>
    <w:rsid w:val="00B20603"/>
    <w:rsid w:val="00B20A04"/>
    <w:rsid w:val="00B21E43"/>
    <w:rsid w:val="00B21E88"/>
    <w:rsid w:val="00B21F67"/>
    <w:rsid w:val="00B21F6A"/>
    <w:rsid w:val="00B2654D"/>
    <w:rsid w:val="00B26597"/>
    <w:rsid w:val="00B328C9"/>
    <w:rsid w:val="00B32E22"/>
    <w:rsid w:val="00B33137"/>
    <w:rsid w:val="00B370D9"/>
    <w:rsid w:val="00B474C8"/>
    <w:rsid w:val="00B47952"/>
    <w:rsid w:val="00B47A34"/>
    <w:rsid w:val="00B50EB7"/>
    <w:rsid w:val="00B52C34"/>
    <w:rsid w:val="00B5359B"/>
    <w:rsid w:val="00B5606A"/>
    <w:rsid w:val="00B571BA"/>
    <w:rsid w:val="00B60586"/>
    <w:rsid w:val="00B60F65"/>
    <w:rsid w:val="00B61481"/>
    <w:rsid w:val="00B617C3"/>
    <w:rsid w:val="00B62D1C"/>
    <w:rsid w:val="00B67069"/>
    <w:rsid w:val="00B670B4"/>
    <w:rsid w:val="00B67D19"/>
    <w:rsid w:val="00B67E4B"/>
    <w:rsid w:val="00B71B67"/>
    <w:rsid w:val="00B72E76"/>
    <w:rsid w:val="00B7301C"/>
    <w:rsid w:val="00B734A1"/>
    <w:rsid w:val="00B74CEB"/>
    <w:rsid w:val="00B75206"/>
    <w:rsid w:val="00B76A50"/>
    <w:rsid w:val="00B77130"/>
    <w:rsid w:val="00B84BBB"/>
    <w:rsid w:val="00B84E13"/>
    <w:rsid w:val="00B85B84"/>
    <w:rsid w:val="00B8641A"/>
    <w:rsid w:val="00B87928"/>
    <w:rsid w:val="00B902B8"/>
    <w:rsid w:val="00B9110F"/>
    <w:rsid w:val="00B91499"/>
    <w:rsid w:val="00B9190F"/>
    <w:rsid w:val="00B93221"/>
    <w:rsid w:val="00B946C9"/>
    <w:rsid w:val="00B95649"/>
    <w:rsid w:val="00B9575B"/>
    <w:rsid w:val="00B969BA"/>
    <w:rsid w:val="00B97711"/>
    <w:rsid w:val="00BA0346"/>
    <w:rsid w:val="00BA0A5C"/>
    <w:rsid w:val="00BA1870"/>
    <w:rsid w:val="00BA241F"/>
    <w:rsid w:val="00BA28E2"/>
    <w:rsid w:val="00BA29C6"/>
    <w:rsid w:val="00BA38FC"/>
    <w:rsid w:val="00BA3AD2"/>
    <w:rsid w:val="00BA540D"/>
    <w:rsid w:val="00BA5F1E"/>
    <w:rsid w:val="00BB0A37"/>
    <w:rsid w:val="00BB105F"/>
    <w:rsid w:val="00BB17CB"/>
    <w:rsid w:val="00BB1ADB"/>
    <w:rsid w:val="00BB4393"/>
    <w:rsid w:val="00BB4966"/>
    <w:rsid w:val="00BB4D03"/>
    <w:rsid w:val="00BB67C7"/>
    <w:rsid w:val="00BB6CE0"/>
    <w:rsid w:val="00BC2F18"/>
    <w:rsid w:val="00BC62BA"/>
    <w:rsid w:val="00BD0310"/>
    <w:rsid w:val="00BD2821"/>
    <w:rsid w:val="00BD655C"/>
    <w:rsid w:val="00BE1CD2"/>
    <w:rsid w:val="00BE3243"/>
    <w:rsid w:val="00BE543E"/>
    <w:rsid w:val="00BE5CAA"/>
    <w:rsid w:val="00BF2ABC"/>
    <w:rsid w:val="00BF3A65"/>
    <w:rsid w:val="00BF3F49"/>
    <w:rsid w:val="00BF64B1"/>
    <w:rsid w:val="00BF6543"/>
    <w:rsid w:val="00C0124E"/>
    <w:rsid w:val="00C01891"/>
    <w:rsid w:val="00C03F3C"/>
    <w:rsid w:val="00C04A64"/>
    <w:rsid w:val="00C04F80"/>
    <w:rsid w:val="00C05C35"/>
    <w:rsid w:val="00C07297"/>
    <w:rsid w:val="00C150A5"/>
    <w:rsid w:val="00C1594A"/>
    <w:rsid w:val="00C162F8"/>
    <w:rsid w:val="00C164FE"/>
    <w:rsid w:val="00C217D9"/>
    <w:rsid w:val="00C21EBD"/>
    <w:rsid w:val="00C223F7"/>
    <w:rsid w:val="00C2465D"/>
    <w:rsid w:val="00C247E5"/>
    <w:rsid w:val="00C248F4"/>
    <w:rsid w:val="00C25111"/>
    <w:rsid w:val="00C25162"/>
    <w:rsid w:val="00C25C38"/>
    <w:rsid w:val="00C25E72"/>
    <w:rsid w:val="00C26787"/>
    <w:rsid w:val="00C27A87"/>
    <w:rsid w:val="00C303C2"/>
    <w:rsid w:val="00C309F6"/>
    <w:rsid w:val="00C32343"/>
    <w:rsid w:val="00C348A7"/>
    <w:rsid w:val="00C34ACD"/>
    <w:rsid w:val="00C34DD9"/>
    <w:rsid w:val="00C37049"/>
    <w:rsid w:val="00C424D2"/>
    <w:rsid w:val="00C44753"/>
    <w:rsid w:val="00C46957"/>
    <w:rsid w:val="00C46F19"/>
    <w:rsid w:val="00C470DF"/>
    <w:rsid w:val="00C5027F"/>
    <w:rsid w:val="00C502A1"/>
    <w:rsid w:val="00C50505"/>
    <w:rsid w:val="00C513DF"/>
    <w:rsid w:val="00C52CA7"/>
    <w:rsid w:val="00C559D8"/>
    <w:rsid w:val="00C5711D"/>
    <w:rsid w:val="00C60200"/>
    <w:rsid w:val="00C603DD"/>
    <w:rsid w:val="00C609EC"/>
    <w:rsid w:val="00C618F0"/>
    <w:rsid w:val="00C61D51"/>
    <w:rsid w:val="00C6312A"/>
    <w:rsid w:val="00C632ED"/>
    <w:rsid w:val="00C6462D"/>
    <w:rsid w:val="00C65351"/>
    <w:rsid w:val="00C6586E"/>
    <w:rsid w:val="00C65B68"/>
    <w:rsid w:val="00C65D60"/>
    <w:rsid w:val="00C65F7E"/>
    <w:rsid w:val="00C66AE5"/>
    <w:rsid w:val="00C66C3F"/>
    <w:rsid w:val="00C71166"/>
    <w:rsid w:val="00C71A90"/>
    <w:rsid w:val="00C722C7"/>
    <w:rsid w:val="00C73186"/>
    <w:rsid w:val="00C7327A"/>
    <w:rsid w:val="00C73616"/>
    <w:rsid w:val="00C73748"/>
    <w:rsid w:val="00C73A4A"/>
    <w:rsid w:val="00C74301"/>
    <w:rsid w:val="00C7497D"/>
    <w:rsid w:val="00C76782"/>
    <w:rsid w:val="00C7698C"/>
    <w:rsid w:val="00C77AF8"/>
    <w:rsid w:val="00C807A8"/>
    <w:rsid w:val="00C80B50"/>
    <w:rsid w:val="00C81058"/>
    <w:rsid w:val="00C815F2"/>
    <w:rsid w:val="00C8187A"/>
    <w:rsid w:val="00C82377"/>
    <w:rsid w:val="00C8241A"/>
    <w:rsid w:val="00C8251F"/>
    <w:rsid w:val="00C829BA"/>
    <w:rsid w:val="00C83561"/>
    <w:rsid w:val="00C8396A"/>
    <w:rsid w:val="00C851C0"/>
    <w:rsid w:val="00C85B0C"/>
    <w:rsid w:val="00C86BF0"/>
    <w:rsid w:val="00C86E4D"/>
    <w:rsid w:val="00C877ED"/>
    <w:rsid w:val="00C9089B"/>
    <w:rsid w:val="00C90D19"/>
    <w:rsid w:val="00C911BB"/>
    <w:rsid w:val="00C919F7"/>
    <w:rsid w:val="00C922C8"/>
    <w:rsid w:val="00C92BE5"/>
    <w:rsid w:val="00C9461E"/>
    <w:rsid w:val="00C9527A"/>
    <w:rsid w:val="00C97A50"/>
    <w:rsid w:val="00CA196A"/>
    <w:rsid w:val="00CA1A04"/>
    <w:rsid w:val="00CA3449"/>
    <w:rsid w:val="00CA5783"/>
    <w:rsid w:val="00CA6A13"/>
    <w:rsid w:val="00CA6E5D"/>
    <w:rsid w:val="00CA70A9"/>
    <w:rsid w:val="00CA7121"/>
    <w:rsid w:val="00CA7859"/>
    <w:rsid w:val="00CB0AD6"/>
    <w:rsid w:val="00CB1160"/>
    <w:rsid w:val="00CB2A35"/>
    <w:rsid w:val="00CB4B07"/>
    <w:rsid w:val="00CB5A5B"/>
    <w:rsid w:val="00CB678C"/>
    <w:rsid w:val="00CB6F87"/>
    <w:rsid w:val="00CB6F8E"/>
    <w:rsid w:val="00CB7B11"/>
    <w:rsid w:val="00CC057C"/>
    <w:rsid w:val="00CC0D0B"/>
    <w:rsid w:val="00CC0DFD"/>
    <w:rsid w:val="00CC122E"/>
    <w:rsid w:val="00CC3035"/>
    <w:rsid w:val="00CC3743"/>
    <w:rsid w:val="00CC3849"/>
    <w:rsid w:val="00CC6B05"/>
    <w:rsid w:val="00CD207C"/>
    <w:rsid w:val="00CD4B89"/>
    <w:rsid w:val="00CD4F78"/>
    <w:rsid w:val="00CE04A1"/>
    <w:rsid w:val="00CE0BDC"/>
    <w:rsid w:val="00CE2047"/>
    <w:rsid w:val="00CE25D0"/>
    <w:rsid w:val="00CE2F2D"/>
    <w:rsid w:val="00CE2F53"/>
    <w:rsid w:val="00CE2F73"/>
    <w:rsid w:val="00CE3F4B"/>
    <w:rsid w:val="00CE5A00"/>
    <w:rsid w:val="00CE604F"/>
    <w:rsid w:val="00CE6C8C"/>
    <w:rsid w:val="00CF04DC"/>
    <w:rsid w:val="00CF0500"/>
    <w:rsid w:val="00CF2B50"/>
    <w:rsid w:val="00CF2E17"/>
    <w:rsid w:val="00CF3059"/>
    <w:rsid w:val="00CF31BA"/>
    <w:rsid w:val="00CF3D37"/>
    <w:rsid w:val="00CF3E83"/>
    <w:rsid w:val="00CF54C2"/>
    <w:rsid w:val="00D002FD"/>
    <w:rsid w:val="00D0030F"/>
    <w:rsid w:val="00D005C9"/>
    <w:rsid w:val="00D01153"/>
    <w:rsid w:val="00D02339"/>
    <w:rsid w:val="00D034A7"/>
    <w:rsid w:val="00D04820"/>
    <w:rsid w:val="00D069E1"/>
    <w:rsid w:val="00D06AD4"/>
    <w:rsid w:val="00D07BA5"/>
    <w:rsid w:val="00D10B3F"/>
    <w:rsid w:val="00D125AC"/>
    <w:rsid w:val="00D12CF4"/>
    <w:rsid w:val="00D136C3"/>
    <w:rsid w:val="00D13E91"/>
    <w:rsid w:val="00D1705C"/>
    <w:rsid w:val="00D17B78"/>
    <w:rsid w:val="00D20118"/>
    <w:rsid w:val="00D20815"/>
    <w:rsid w:val="00D2286A"/>
    <w:rsid w:val="00D2357F"/>
    <w:rsid w:val="00D23CA5"/>
    <w:rsid w:val="00D24945"/>
    <w:rsid w:val="00D26322"/>
    <w:rsid w:val="00D26389"/>
    <w:rsid w:val="00D2719A"/>
    <w:rsid w:val="00D30873"/>
    <w:rsid w:val="00D350EF"/>
    <w:rsid w:val="00D3557F"/>
    <w:rsid w:val="00D37654"/>
    <w:rsid w:val="00D42E0F"/>
    <w:rsid w:val="00D42FA1"/>
    <w:rsid w:val="00D4380B"/>
    <w:rsid w:val="00D46455"/>
    <w:rsid w:val="00D46BB0"/>
    <w:rsid w:val="00D5036C"/>
    <w:rsid w:val="00D51C03"/>
    <w:rsid w:val="00D52465"/>
    <w:rsid w:val="00D53886"/>
    <w:rsid w:val="00D57163"/>
    <w:rsid w:val="00D57D8B"/>
    <w:rsid w:val="00D60E65"/>
    <w:rsid w:val="00D638B9"/>
    <w:rsid w:val="00D64540"/>
    <w:rsid w:val="00D6642E"/>
    <w:rsid w:val="00D66D13"/>
    <w:rsid w:val="00D672A4"/>
    <w:rsid w:val="00D70FB2"/>
    <w:rsid w:val="00D72DB9"/>
    <w:rsid w:val="00D75078"/>
    <w:rsid w:val="00D7569B"/>
    <w:rsid w:val="00D766AE"/>
    <w:rsid w:val="00D80A21"/>
    <w:rsid w:val="00D83756"/>
    <w:rsid w:val="00D83E54"/>
    <w:rsid w:val="00D86266"/>
    <w:rsid w:val="00D90123"/>
    <w:rsid w:val="00D90273"/>
    <w:rsid w:val="00D914F2"/>
    <w:rsid w:val="00D918DE"/>
    <w:rsid w:val="00D91CAC"/>
    <w:rsid w:val="00D9361E"/>
    <w:rsid w:val="00D93B10"/>
    <w:rsid w:val="00D94981"/>
    <w:rsid w:val="00D94E77"/>
    <w:rsid w:val="00D96526"/>
    <w:rsid w:val="00D97EE0"/>
    <w:rsid w:val="00DA1A48"/>
    <w:rsid w:val="00DA2B14"/>
    <w:rsid w:val="00DA387F"/>
    <w:rsid w:val="00DA5D61"/>
    <w:rsid w:val="00DB0119"/>
    <w:rsid w:val="00DB03DC"/>
    <w:rsid w:val="00DB0D4E"/>
    <w:rsid w:val="00DB2401"/>
    <w:rsid w:val="00DB2DBE"/>
    <w:rsid w:val="00DB329F"/>
    <w:rsid w:val="00DB4E41"/>
    <w:rsid w:val="00DB5D80"/>
    <w:rsid w:val="00DB6058"/>
    <w:rsid w:val="00DB6164"/>
    <w:rsid w:val="00DB63C0"/>
    <w:rsid w:val="00DB690F"/>
    <w:rsid w:val="00DB6A7F"/>
    <w:rsid w:val="00DC1969"/>
    <w:rsid w:val="00DC1D54"/>
    <w:rsid w:val="00DC3531"/>
    <w:rsid w:val="00DC4CB5"/>
    <w:rsid w:val="00DC6238"/>
    <w:rsid w:val="00DC6D0B"/>
    <w:rsid w:val="00DC6E85"/>
    <w:rsid w:val="00DC7FF7"/>
    <w:rsid w:val="00DD022D"/>
    <w:rsid w:val="00DD0D8F"/>
    <w:rsid w:val="00DD27FD"/>
    <w:rsid w:val="00DD38A5"/>
    <w:rsid w:val="00DD44CB"/>
    <w:rsid w:val="00DD486A"/>
    <w:rsid w:val="00DD493D"/>
    <w:rsid w:val="00DD5283"/>
    <w:rsid w:val="00DD5FD9"/>
    <w:rsid w:val="00DD684B"/>
    <w:rsid w:val="00DD765B"/>
    <w:rsid w:val="00DD7EEF"/>
    <w:rsid w:val="00DE0466"/>
    <w:rsid w:val="00DE0904"/>
    <w:rsid w:val="00DE1829"/>
    <w:rsid w:val="00DE20AE"/>
    <w:rsid w:val="00DE25A1"/>
    <w:rsid w:val="00DE29E3"/>
    <w:rsid w:val="00DE37D1"/>
    <w:rsid w:val="00DE468D"/>
    <w:rsid w:val="00DE4D04"/>
    <w:rsid w:val="00DE5457"/>
    <w:rsid w:val="00DE671C"/>
    <w:rsid w:val="00DF1357"/>
    <w:rsid w:val="00DF2AB5"/>
    <w:rsid w:val="00DF43C8"/>
    <w:rsid w:val="00DF5912"/>
    <w:rsid w:val="00DF59B9"/>
    <w:rsid w:val="00DF6574"/>
    <w:rsid w:val="00DF669F"/>
    <w:rsid w:val="00E002F7"/>
    <w:rsid w:val="00E005DE"/>
    <w:rsid w:val="00E0258F"/>
    <w:rsid w:val="00E05040"/>
    <w:rsid w:val="00E06F25"/>
    <w:rsid w:val="00E071B7"/>
    <w:rsid w:val="00E1112D"/>
    <w:rsid w:val="00E13251"/>
    <w:rsid w:val="00E1361A"/>
    <w:rsid w:val="00E165F6"/>
    <w:rsid w:val="00E203A1"/>
    <w:rsid w:val="00E20822"/>
    <w:rsid w:val="00E20F8F"/>
    <w:rsid w:val="00E23E90"/>
    <w:rsid w:val="00E26469"/>
    <w:rsid w:val="00E26BAA"/>
    <w:rsid w:val="00E2747E"/>
    <w:rsid w:val="00E3052C"/>
    <w:rsid w:val="00E30C03"/>
    <w:rsid w:val="00E32337"/>
    <w:rsid w:val="00E33C5A"/>
    <w:rsid w:val="00E35F60"/>
    <w:rsid w:val="00E361D7"/>
    <w:rsid w:val="00E36749"/>
    <w:rsid w:val="00E3775C"/>
    <w:rsid w:val="00E400E7"/>
    <w:rsid w:val="00E4067B"/>
    <w:rsid w:val="00E44360"/>
    <w:rsid w:val="00E45512"/>
    <w:rsid w:val="00E46529"/>
    <w:rsid w:val="00E46C48"/>
    <w:rsid w:val="00E51360"/>
    <w:rsid w:val="00E51F76"/>
    <w:rsid w:val="00E52EEE"/>
    <w:rsid w:val="00E53B40"/>
    <w:rsid w:val="00E55580"/>
    <w:rsid w:val="00E55CBD"/>
    <w:rsid w:val="00E61D7A"/>
    <w:rsid w:val="00E62B21"/>
    <w:rsid w:val="00E64FA8"/>
    <w:rsid w:val="00E6569B"/>
    <w:rsid w:val="00E7215B"/>
    <w:rsid w:val="00E72B5C"/>
    <w:rsid w:val="00E74655"/>
    <w:rsid w:val="00E75FD9"/>
    <w:rsid w:val="00E7768B"/>
    <w:rsid w:val="00E77BE8"/>
    <w:rsid w:val="00E80623"/>
    <w:rsid w:val="00E8179E"/>
    <w:rsid w:val="00E844C2"/>
    <w:rsid w:val="00E85B22"/>
    <w:rsid w:val="00E915FE"/>
    <w:rsid w:val="00E9175F"/>
    <w:rsid w:val="00E95F23"/>
    <w:rsid w:val="00E95FAC"/>
    <w:rsid w:val="00E96E92"/>
    <w:rsid w:val="00E970F9"/>
    <w:rsid w:val="00EA081C"/>
    <w:rsid w:val="00EA1085"/>
    <w:rsid w:val="00EA2FDE"/>
    <w:rsid w:val="00EA3274"/>
    <w:rsid w:val="00EA3732"/>
    <w:rsid w:val="00EA40AC"/>
    <w:rsid w:val="00EA4580"/>
    <w:rsid w:val="00EA5A52"/>
    <w:rsid w:val="00EA71C3"/>
    <w:rsid w:val="00EB082E"/>
    <w:rsid w:val="00EB134B"/>
    <w:rsid w:val="00EB4577"/>
    <w:rsid w:val="00EB7290"/>
    <w:rsid w:val="00EB7DB9"/>
    <w:rsid w:val="00EB7F34"/>
    <w:rsid w:val="00EC0639"/>
    <w:rsid w:val="00EC1D8C"/>
    <w:rsid w:val="00EC2277"/>
    <w:rsid w:val="00EC2E33"/>
    <w:rsid w:val="00EC3886"/>
    <w:rsid w:val="00EC3D19"/>
    <w:rsid w:val="00EC42AC"/>
    <w:rsid w:val="00EC4DC5"/>
    <w:rsid w:val="00EC5A23"/>
    <w:rsid w:val="00ED0909"/>
    <w:rsid w:val="00ED14CD"/>
    <w:rsid w:val="00ED2CD5"/>
    <w:rsid w:val="00ED47A9"/>
    <w:rsid w:val="00ED4834"/>
    <w:rsid w:val="00ED4912"/>
    <w:rsid w:val="00ED6579"/>
    <w:rsid w:val="00ED7AAB"/>
    <w:rsid w:val="00EE0350"/>
    <w:rsid w:val="00EE1012"/>
    <w:rsid w:val="00EE5450"/>
    <w:rsid w:val="00EE5F16"/>
    <w:rsid w:val="00EE7207"/>
    <w:rsid w:val="00EE7974"/>
    <w:rsid w:val="00EF0962"/>
    <w:rsid w:val="00EF226C"/>
    <w:rsid w:val="00EF2E92"/>
    <w:rsid w:val="00EF31D4"/>
    <w:rsid w:val="00EF38A7"/>
    <w:rsid w:val="00EF4274"/>
    <w:rsid w:val="00EF4E1A"/>
    <w:rsid w:val="00EF59B9"/>
    <w:rsid w:val="00EF6258"/>
    <w:rsid w:val="00EF6E8B"/>
    <w:rsid w:val="00EF70CA"/>
    <w:rsid w:val="00EF7C07"/>
    <w:rsid w:val="00F023C8"/>
    <w:rsid w:val="00F026F5"/>
    <w:rsid w:val="00F02DF3"/>
    <w:rsid w:val="00F04026"/>
    <w:rsid w:val="00F049C1"/>
    <w:rsid w:val="00F04DED"/>
    <w:rsid w:val="00F05B11"/>
    <w:rsid w:val="00F061DA"/>
    <w:rsid w:val="00F11886"/>
    <w:rsid w:val="00F13576"/>
    <w:rsid w:val="00F14500"/>
    <w:rsid w:val="00F1561F"/>
    <w:rsid w:val="00F15D62"/>
    <w:rsid w:val="00F16081"/>
    <w:rsid w:val="00F20101"/>
    <w:rsid w:val="00F20E6E"/>
    <w:rsid w:val="00F21594"/>
    <w:rsid w:val="00F219C5"/>
    <w:rsid w:val="00F21D17"/>
    <w:rsid w:val="00F2255D"/>
    <w:rsid w:val="00F232F4"/>
    <w:rsid w:val="00F2365A"/>
    <w:rsid w:val="00F24FBB"/>
    <w:rsid w:val="00F25448"/>
    <w:rsid w:val="00F26831"/>
    <w:rsid w:val="00F268F2"/>
    <w:rsid w:val="00F26A96"/>
    <w:rsid w:val="00F32305"/>
    <w:rsid w:val="00F33B65"/>
    <w:rsid w:val="00F344F5"/>
    <w:rsid w:val="00F375CF"/>
    <w:rsid w:val="00F37871"/>
    <w:rsid w:val="00F40F8D"/>
    <w:rsid w:val="00F41617"/>
    <w:rsid w:val="00F41D06"/>
    <w:rsid w:val="00F42635"/>
    <w:rsid w:val="00F43373"/>
    <w:rsid w:val="00F4524D"/>
    <w:rsid w:val="00F47B29"/>
    <w:rsid w:val="00F503F3"/>
    <w:rsid w:val="00F518C9"/>
    <w:rsid w:val="00F51B2F"/>
    <w:rsid w:val="00F52D93"/>
    <w:rsid w:val="00F538E1"/>
    <w:rsid w:val="00F53A79"/>
    <w:rsid w:val="00F53D12"/>
    <w:rsid w:val="00F53EC4"/>
    <w:rsid w:val="00F55A77"/>
    <w:rsid w:val="00F56D96"/>
    <w:rsid w:val="00F60A8F"/>
    <w:rsid w:val="00F60CD7"/>
    <w:rsid w:val="00F60DB9"/>
    <w:rsid w:val="00F60F4E"/>
    <w:rsid w:val="00F61511"/>
    <w:rsid w:val="00F637F4"/>
    <w:rsid w:val="00F63F13"/>
    <w:rsid w:val="00F64032"/>
    <w:rsid w:val="00F65C1E"/>
    <w:rsid w:val="00F65F0D"/>
    <w:rsid w:val="00F66550"/>
    <w:rsid w:val="00F66894"/>
    <w:rsid w:val="00F67CB0"/>
    <w:rsid w:val="00F67D74"/>
    <w:rsid w:val="00F70426"/>
    <w:rsid w:val="00F72B97"/>
    <w:rsid w:val="00F731A4"/>
    <w:rsid w:val="00F73718"/>
    <w:rsid w:val="00F73E90"/>
    <w:rsid w:val="00F7402D"/>
    <w:rsid w:val="00F74686"/>
    <w:rsid w:val="00F757B1"/>
    <w:rsid w:val="00F75D9C"/>
    <w:rsid w:val="00F76E08"/>
    <w:rsid w:val="00F80344"/>
    <w:rsid w:val="00F8037D"/>
    <w:rsid w:val="00F8171D"/>
    <w:rsid w:val="00F85312"/>
    <w:rsid w:val="00F85C5D"/>
    <w:rsid w:val="00F85E5B"/>
    <w:rsid w:val="00F90020"/>
    <w:rsid w:val="00F91557"/>
    <w:rsid w:val="00F9166C"/>
    <w:rsid w:val="00F91F10"/>
    <w:rsid w:val="00F926CF"/>
    <w:rsid w:val="00F926E9"/>
    <w:rsid w:val="00F9317F"/>
    <w:rsid w:val="00F938C2"/>
    <w:rsid w:val="00F93C8D"/>
    <w:rsid w:val="00F942E8"/>
    <w:rsid w:val="00F947F4"/>
    <w:rsid w:val="00F954C1"/>
    <w:rsid w:val="00F95D5C"/>
    <w:rsid w:val="00F96D62"/>
    <w:rsid w:val="00F96E99"/>
    <w:rsid w:val="00FA1A14"/>
    <w:rsid w:val="00FA255C"/>
    <w:rsid w:val="00FA313E"/>
    <w:rsid w:val="00FA3EEC"/>
    <w:rsid w:val="00FA560E"/>
    <w:rsid w:val="00FA77C1"/>
    <w:rsid w:val="00FA7A0B"/>
    <w:rsid w:val="00FB175A"/>
    <w:rsid w:val="00FB4862"/>
    <w:rsid w:val="00FB61A9"/>
    <w:rsid w:val="00FC0043"/>
    <w:rsid w:val="00FC1323"/>
    <w:rsid w:val="00FC28D4"/>
    <w:rsid w:val="00FC3E6C"/>
    <w:rsid w:val="00FC4BBB"/>
    <w:rsid w:val="00FC62F5"/>
    <w:rsid w:val="00FC6791"/>
    <w:rsid w:val="00FC6B22"/>
    <w:rsid w:val="00FC7D0C"/>
    <w:rsid w:val="00FD05C3"/>
    <w:rsid w:val="00FD1EA4"/>
    <w:rsid w:val="00FD1EB0"/>
    <w:rsid w:val="00FD1ED4"/>
    <w:rsid w:val="00FD2407"/>
    <w:rsid w:val="00FD306A"/>
    <w:rsid w:val="00FD36D9"/>
    <w:rsid w:val="00FD4320"/>
    <w:rsid w:val="00FD565B"/>
    <w:rsid w:val="00FD57F5"/>
    <w:rsid w:val="00FD7D0C"/>
    <w:rsid w:val="00FD7DC7"/>
    <w:rsid w:val="00FD7E1B"/>
    <w:rsid w:val="00FD7E58"/>
    <w:rsid w:val="00FDBEDE"/>
    <w:rsid w:val="00FE0A31"/>
    <w:rsid w:val="00FE0B27"/>
    <w:rsid w:val="00FE0D69"/>
    <w:rsid w:val="00FE0DB5"/>
    <w:rsid w:val="00FE1E37"/>
    <w:rsid w:val="00FE3899"/>
    <w:rsid w:val="00FE3EEB"/>
    <w:rsid w:val="00FE446D"/>
    <w:rsid w:val="00FE5321"/>
    <w:rsid w:val="00FE621C"/>
    <w:rsid w:val="00FE697B"/>
    <w:rsid w:val="00FE6DA4"/>
    <w:rsid w:val="00FF23FF"/>
    <w:rsid w:val="00FF3CC2"/>
    <w:rsid w:val="00FF5D9A"/>
    <w:rsid w:val="0100F38A"/>
    <w:rsid w:val="0192E7FA"/>
    <w:rsid w:val="02423530"/>
    <w:rsid w:val="03172D35"/>
    <w:rsid w:val="03527A06"/>
    <w:rsid w:val="037C3771"/>
    <w:rsid w:val="03822F15"/>
    <w:rsid w:val="0382BA75"/>
    <w:rsid w:val="03957DB5"/>
    <w:rsid w:val="039658E3"/>
    <w:rsid w:val="03B311BC"/>
    <w:rsid w:val="03E9DA45"/>
    <w:rsid w:val="03F152D3"/>
    <w:rsid w:val="03FD5149"/>
    <w:rsid w:val="03FFCDF8"/>
    <w:rsid w:val="044C407B"/>
    <w:rsid w:val="049EF110"/>
    <w:rsid w:val="04A6627F"/>
    <w:rsid w:val="04B2FD96"/>
    <w:rsid w:val="04D218CB"/>
    <w:rsid w:val="0562CCF4"/>
    <w:rsid w:val="05905862"/>
    <w:rsid w:val="05972937"/>
    <w:rsid w:val="05988F0E"/>
    <w:rsid w:val="05D41B17"/>
    <w:rsid w:val="05D93711"/>
    <w:rsid w:val="0610B085"/>
    <w:rsid w:val="06250ED1"/>
    <w:rsid w:val="06288D47"/>
    <w:rsid w:val="0633B08E"/>
    <w:rsid w:val="064AF341"/>
    <w:rsid w:val="066BA842"/>
    <w:rsid w:val="06773D08"/>
    <w:rsid w:val="068615C0"/>
    <w:rsid w:val="06E0383F"/>
    <w:rsid w:val="06F1FDAC"/>
    <w:rsid w:val="073A8FB0"/>
    <w:rsid w:val="075E7A7E"/>
    <w:rsid w:val="0763D806"/>
    <w:rsid w:val="0773E3F6"/>
    <w:rsid w:val="079D63CB"/>
    <w:rsid w:val="07C45DA8"/>
    <w:rsid w:val="08093F35"/>
    <w:rsid w:val="0812F1FE"/>
    <w:rsid w:val="0818345E"/>
    <w:rsid w:val="08241B66"/>
    <w:rsid w:val="083FBA0E"/>
    <w:rsid w:val="0842B0FB"/>
    <w:rsid w:val="08D3327B"/>
    <w:rsid w:val="090B870D"/>
    <w:rsid w:val="093F6730"/>
    <w:rsid w:val="098423C4"/>
    <w:rsid w:val="09EA04BC"/>
    <w:rsid w:val="09F74FBB"/>
    <w:rsid w:val="0A3BB148"/>
    <w:rsid w:val="0A4D4715"/>
    <w:rsid w:val="0AB0EA6C"/>
    <w:rsid w:val="0AD1BF8D"/>
    <w:rsid w:val="0ADCB290"/>
    <w:rsid w:val="0B5FC9A6"/>
    <w:rsid w:val="0B76F12F"/>
    <w:rsid w:val="0B911215"/>
    <w:rsid w:val="0C3B0368"/>
    <w:rsid w:val="0C83A1D2"/>
    <w:rsid w:val="0C8E5370"/>
    <w:rsid w:val="0C8F67C1"/>
    <w:rsid w:val="0CB08586"/>
    <w:rsid w:val="0CE7E708"/>
    <w:rsid w:val="0D1CE0C5"/>
    <w:rsid w:val="0D6AF32F"/>
    <w:rsid w:val="0DB39712"/>
    <w:rsid w:val="0DC1FFDA"/>
    <w:rsid w:val="0DC99746"/>
    <w:rsid w:val="0E1C5E62"/>
    <w:rsid w:val="0E297206"/>
    <w:rsid w:val="0E4B501E"/>
    <w:rsid w:val="0E7ABF0F"/>
    <w:rsid w:val="0EB8B126"/>
    <w:rsid w:val="0EC5E9B6"/>
    <w:rsid w:val="0ECB35FB"/>
    <w:rsid w:val="0EEDA8D7"/>
    <w:rsid w:val="0EFB7D06"/>
    <w:rsid w:val="0F200423"/>
    <w:rsid w:val="0F4F960E"/>
    <w:rsid w:val="0F53A7A9"/>
    <w:rsid w:val="0F6CE15C"/>
    <w:rsid w:val="0F9A9D33"/>
    <w:rsid w:val="0FAA4FC8"/>
    <w:rsid w:val="102180A8"/>
    <w:rsid w:val="10333AC9"/>
    <w:rsid w:val="10349A83"/>
    <w:rsid w:val="10BF16D2"/>
    <w:rsid w:val="1163A8E0"/>
    <w:rsid w:val="11808071"/>
    <w:rsid w:val="118F35A9"/>
    <w:rsid w:val="11D507A6"/>
    <w:rsid w:val="11E9C09E"/>
    <w:rsid w:val="1249F11E"/>
    <w:rsid w:val="12A66C8A"/>
    <w:rsid w:val="12C9ED24"/>
    <w:rsid w:val="13094639"/>
    <w:rsid w:val="132B9BD5"/>
    <w:rsid w:val="13882A70"/>
    <w:rsid w:val="1391CFFE"/>
    <w:rsid w:val="13C39C1B"/>
    <w:rsid w:val="13CAA40F"/>
    <w:rsid w:val="13E5C17F"/>
    <w:rsid w:val="13F957AD"/>
    <w:rsid w:val="145E9907"/>
    <w:rsid w:val="146BFB83"/>
    <w:rsid w:val="1488448D"/>
    <w:rsid w:val="14A373AF"/>
    <w:rsid w:val="14C6D66B"/>
    <w:rsid w:val="15079794"/>
    <w:rsid w:val="154C72E7"/>
    <w:rsid w:val="156265FB"/>
    <w:rsid w:val="15FBF52B"/>
    <w:rsid w:val="161B5B8E"/>
    <w:rsid w:val="165CEC27"/>
    <w:rsid w:val="1671FD04"/>
    <w:rsid w:val="16E170BF"/>
    <w:rsid w:val="16FEECCD"/>
    <w:rsid w:val="17C1F8FC"/>
    <w:rsid w:val="17C96F0F"/>
    <w:rsid w:val="181883BF"/>
    <w:rsid w:val="181E13DD"/>
    <w:rsid w:val="182807D5"/>
    <w:rsid w:val="183FE96C"/>
    <w:rsid w:val="1874EF35"/>
    <w:rsid w:val="1905DA64"/>
    <w:rsid w:val="1918DAE5"/>
    <w:rsid w:val="198A739C"/>
    <w:rsid w:val="19D8ADB0"/>
    <w:rsid w:val="1A1633E5"/>
    <w:rsid w:val="1A22509F"/>
    <w:rsid w:val="1A39DD2F"/>
    <w:rsid w:val="1A506E00"/>
    <w:rsid w:val="1A674FE5"/>
    <w:rsid w:val="1A6C3FD5"/>
    <w:rsid w:val="1A98434F"/>
    <w:rsid w:val="1AC2C0B6"/>
    <w:rsid w:val="1AE663B6"/>
    <w:rsid w:val="1B233DF7"/>
    <w:rsid w:val="1BE0C562"/>
    <w:rsid w:val="1BE1ED94"/>
    <w:rsid w:val="1BE2A612"/>
    <w:rsid w:val="1C4E6FBF"/>
    <w:rsid w:val="1C71CEC4"/>
    <w:rsid w:val="1C9C1FA1"/>
    <w:rsid w:val="1CA13BAA"/>
    <w:rsid w:val="1CE6BEEF"/>
    <w:rsid w:val="1D14BF67"/>
    <w:rsid w:val="1D451911"/>
    <w:rsid w:val="1D8BBFD3"/>
    <w:rsid w:val="1DA9E3CF"/>
    <w:rsid w:val="1DC1B0F8"/>
    <w:rsid w:val="1DD96AF5"/>
    <w:rsid w:val="1E0C715A"/>
    <w:rsid w:val="1E0D9F25"/>
    <w:rsid w:val="1E21EA71"/>
    <w:rsid w:val="1E254411"/>
    <w:rsid w:val="1E2591D7"/>
    <w:rsid w:val="1E2888C5"/>
    <w:rsid w:val="1E41979A"/>
    <w:rsid w:val="1E4C2BB1"/>
    <w:rsid w:val="1E7D6876"/>
    <w:rsid w:val="1EA4840D"/>
    <w:rsid w:val="1EC8C571"/>
    <w:rsid w:val="1ECFD588"/>
    <w:rsid w:val="1EE5ACA6"/>
    <w:rsid w:val="1F279BBC"/>
    <w:rsid w:val="1F3AE65D"/>
    <w:rsid w:val="1F54D157"/>
    <w:rsid w:val="1FA913D1"/>
    <w:rsid w:val="1FA96F86"/>
    <w:rsid w:val="2077EEA0"/>
    <w:rsid w:val="207B6BB0"/>
    <w:rsid w:val="20FAC26C"/>
    <w:rsid w:val="214C569D"/>
    <w:rsid w:val="21A46C69"/>
    <w:rsid w:val="21AD46F9"/>
    <w:rsid w:val="21D8B544"/>
    <w:rsid w:val="21F4FCDE"/>
    <w:rsid w:val="22258C72"/>
    <w:rsid w:val="22512F18"/>
    <w:rsid w:val="22845E46"/>
    <w:rsid w:val="2284E601"/>
    <w:rsid w:val="228C1FC3"/>
    <w:rsid w:val="229BDEB1"/>
    <w:rsid w:val="22A0DFDB"/>
    <w:rsid w:val="23089068"/>
    <w:rsid w:val="23209FB1"/>
    <w:rsid w:val="23529F06"/>
    <w:rsid w:val="235CD70C"/>
    <w:rsid w:val="23606EC2"/>
    <w:rsid w:val="23660ED1"/>
    <w:rsid w:val="23712E1D"/>
    <w:rsid w:val="23E3555F"/>
    <w:rsid w:val="23EC2A98"/>
    <w:rsid w:val="23F16E25"/>
    <w:rsid w:val="2425EF8B"/>
    <w:rsid w:val="243BB07B"/>
    <w:rsid w:val="24507A9F"/>
    <w:rsid w:val="246C7BCB"/>
    <w:rsid w:val="247CE0A9"/>
    <w:rsid w:val="24B44CDE"/>
    <w:rsid w:val="24B80924"/>
    <w:rsid w:val="24DA486E"/>
    <w:rsid w:val="24DAAF96"/>
    <w:rsid w:val="24EA7464"/>
    <w:rsid w:val="250CFE7E"/>
    <w:rsid w:val="251D70FC"/>
    <w:rsid w:val="25316AAB"/>
    <w:rsid w:val="25393764"/>
    <w:rsid w:val="256BC1DC"/>
    <w:rsid w:val="259FA330"/>
    <w:rsid w:val="25CA683E"/>
    <w:rsid w:val="260430FC"/>
    <w:rsid w:val="262A57E5"/>
    <w:rsid w:val="2640F208"/>
    <w:rsid w:val="2676ECDF"/>
    <w:rsid w:val="2678887C"/>
    <w:rsid w:val="26887B91"/>
    <w:rsid w:val="269C9D09"/>
    <w:rsid w:val="26C8E50C"/>
    <w:rsid w:val="27009B8A"/>
    <w:rsid w:val="273B60DD"/>
    <w:rsid w:val="27595020"/>
    <w:rsid w:val="275F14AA"/>
    <w:rsid w:val="278985EA"/>
    <w:rsid w:val="278F1386"/>
    <w:rsid w:val="27B52F51"/>
    <w:rsid w:val="28497314"/>
    <w:rsid w:val="285E41D0"/>
    <w:rsid w:val="28A51711"/>
    <w:rsid w:val="296B1239"/>
    <w:rsid w:val="2971D9B7"/>
    <w:rsid w:val="29891E35"/>
    <w:rsid w:val="29C1C4F0"/>
    <w:rsid w:val="29C2E8AE"/>
    <w:rsid w:val="29DF31A0"/>
    <w:rsid w:val="2A0E1CC8"/>
    <w:rsid w:val="2A3B753B"/>
    <w:rsid w:val="2A3C5B2F"/>
    <w:rsid w:val="2A41F06E"/>
    <w:rsid w:val="2A50F914"/>
    <w:rsid w:val="2A6DE07B"/>
    <w:rsid w:val="2AC71542"/>
    <w:rsid w:val="2ACADB6F"/>
    <w:rsid w:val="2B30C683"/>
    <w:rsid w:val="2B3CCE6F"/>
    <w:rsid w:val="2B695AD3"/>
    <w:rsid w:val="2BA5A13D"/>
    <w:rsid w:val="2BFE292C"/>
    <w:rsid w:val="2C108EB8"/>
    <w:rsid w:val="2C8835E6"/>
    <w:rsid w:val="2C9CB6C7"/>
    <w:rsid w:val="2CB5C173"/>
    <w:rsid w:val="2CC29CD6"/>
    <w:rsid w:val="2CDC8A25"/>
    <w:rsid w:val="2D0DE893"/>
    <w:rsid w:val="2D2A69EA"/>
    <w:rsid w:val="2D75961C"/>
    <w:rsid w:val="2E3AF150"/>
    <w:rsid w:val="2E52A9F2"/>
    <w:rsid w:val="2E7D6225"/>
    <w:rsid w:val="2E8E0D66"/>
    <w:rsid w:val="2EC4B7A7"/>
    <w:rsid w:val="2F1067F2"/>
    <w:rsid w:val="2F1B4D61"/>
    <w:rsid w:val="2F23FFBC"/>
    <w:rsid w:val="2F45BB2D"/>
    <w:rsid w:val="2F5EB16C"/>
    <w:rsid w:val="2F666497"/>
    <w:rsid w:val="2F977C8D"/>
    <w:rsid w:val="2FAA7A86"/>
    <w:rsid w:val="2FC780D6"/>
    <w:rsid w:val="2FD153ED"/>
    <w:rsid w:val="2FE1E183"/>
    <w:rsid w:val="300E7205"/>
    <w:rsid w:val="30467319"/>
    <w:rsid w:val="308384CB"/>
    <w:rsid w:val="30AA191C"/>
    <w:rsid w:val="30B2FC34"/>
    <w:rsid w:val="30CAA791"/>
    <w:rsid w:val="30CE7FB7"/>
    <w:rsid w:val="30F86151"/>
    <w:rsid w:val="3130989B"/>
    <w:rsid w:val="3132676C"/>
    <w:rsid w:val="318D2EB4"/>
    <w:rsid w:val="31AD71AA"/>
    <w:rsid w:val="321FC76A"/>
    <w:rsid w:val="32B2D076"/>
    <w:rsid w:val="32BD2A99"/>
    <w:rsid w:val="32CAA5BE"/>
    <w:rsid w:val="332502F7"/>
    <w:rsid w:val="332B4362"/>
    <w:rsid w:val="3341ED78"/>
    <w:rsid w:val="3342A964"/>
    <w:rsid w:val="33BB85D7"/>
    <w:rsid w:val="33E00EEA"/>
    <w:rsid w:val="33E0EEFB"/>
    <w:rsid w:val="33F6E877"/>
    <w:rsid w:val="340322F0"/>
    <w:rsid w:val="3484C566"/>
    <w:rsid w:val="34AEAB9D"/>
    <w:rsid w:val="34B8E36B"/>
    <w:rsid w:val="34E86521"/>
    <w:rsid w:val="34EEB63C"/>
    <w:rsid w:val="35061463"/>
    <w:rsid w:val="352ABA43"/>
    <w:rsid w:val="35349D4C"/>
    <w:rsid w:val="3563A475"/>
    <w:rsid w:val="356E3D9B"/>
    <w:rsid w:val="35855EB7"/>
    <w:rsid w:val="358620A5"/>
    <w:rsid w:val="358C232F"/>
    <w:rsid w:val="35D5A61B"/>
    <w:rsid w:val="361F6009"/>
    <w:rsid w:val="362D98B9"/>
    <w:rsid w:val="362FE936"/>
    <w:rsid w:val="364877E7"/>
    <w:rsid w:val="36B9A015"/>
    <w:rsid w:val="36D206B7"/>
    <w:rsid w:val="36EB15DC"/>
    <w:rsid w:val="36EE15AC"/>
    <w:rsid w:val="370913B5"/>
    <w:rsid w:val="375EF7B5"/>
    <w:rsid w:val="376D2329"/>
    <w:rsid w:val="377494D1"/>
    <w:rsid w:val="37B787AC"/>
    <w:rsid w:val="37BB306A"/>
    <w:rsid w:val="37DB531B"/>
    <w:rsid w:val="383A1074"/>
    <w:rsid w:val="38A8425C"/>
    <w:rsid w:val="38C44E73"/>
    <w:rsid w:val="394462D0"/>
    <w:rsid w:val="395CFB9F"/>
    <w:rsid w:val="39727245"/>
    <w:rsid w:val="3983700A"/>
    <w:rsid w:val="39B12EFC"/>
    <w:rsid w:val="39E1C12C"/>
    <w:rsid w:val="39E1F85D"/>
    <w:rsid w:val="3A051969"/>
    <w:rsid w:val="3ABCD6F0"/>
    <w:rsid w:val="3ACEBFAD"/>
    <w:rsid w:val="3AD99EAB"/>
    <w:rsid w:val="3B34DC11"/>
    <w:rsid w:val="3B92E0FC"/>
    <w:rsid w:val="3BC201E1"/>
    <w:rsid w:val="3C10D902"/>
    <w:rsid w:val="3C3A6900"/>
    <w:rsid w:val="3C4AC2DA"/>
    <w:rsid w:val="3C7158E0"/>
    <w:rsid w:val="3CA1153C"/>
    <w:rsid w:val="3CA65884"/>
    <w:rsid w:val="3CAB2296"/>
    <w:rsid w:val="3CBB10CC"/>
    <w:rsid w:val="3CBFCB91"/>
    <w:rsid w:val="3CCAC39F"/>
    <w:rsid w:val="3CD1DCE2"/>
    <w:rsid w:val="3CDE599C"/>
    <w:rsid w:val="3CDEEB09"/>
    <w:rsid w:val="3CF42B8F"/>
    <w:rsid w:val="3D05C1D3"/>
    <w:rsid w:val="3D6673D9"/>
    <w:rsid w:val="3DB65988"/>
    <w:rsid w:val="3DB76567"/>
    <w:rsid w:val="3DBE59D4"/>
    <w:rsid w:val="3DD6667A"/>
    <w:rsid w:val="3DE02867"/>
    <w:rsid w:val="3E47F273"/>
    <w:rsid w:val="3E76BE4C"/>
    <w:rsid w:val="3EC0A52F"/>
    <w:rsid w:val="3FD06E62"/>
    <w:rsid w:val="3FE2E4CF"/>
    <w:rsid w:val="3FFA5440"/>
    <w:rsid w:val="40043A2E"/>
    <w:rsid w:val="407CC964"/>
    <w:rsid w:val="40CF4342"/>
    <w:rsid w:val="40EB7A2B"/>
    <w:rsid w:val="40F67080"/>
    <w:rsid w:val="410D44AB"/>
    <w:rsid w:val="4119B41C"/>
    <w:rsid w:val="4147E82E"/>
    <w:rsid w:val="4152E99D"/>
    <w:rsid w:val="417312DE"/>
    <w:rsid w:val="419C5B13"/>
    <w:rsid w:val="419E9B6B"/>
    <w:rsid w:val="425B94DA"/>
    <w:rsid w:val="42E306F9"/>
    <w:rsid w:val="42F787A0"/>
    <w:rsid w:val="431C6C1D"/>
    <w:rsid w:val="432E855D"/>
    <w:rsid w:val="437A26C2"/>
    <w:rsid w:val="43967493"/>
    <w:rsid w:val="43BB4274"/>
    <w:rsid w:val="43FAF698"/>
    <w:rsid w:val="440A1B61"/>
    <w:rsid w:val="444A90D9"/>
    <w:rsid w:val="44730741"/>
    <w:rsid w:val="449716BF"/>
    <w:rsid w:val="44B4F4E3"/>
    <w:rsid w:val="44BF7690"/>
    <w:rsid w:val="450BB1CB"/>
    <w:rsid w:val="4510F697"/>
    <w:rsid w:val="45209AE5"/>
    <w:rsid w:val="456053DB"/>
    <w:rsid w:val="45B05D45"/>
    <w:rsid w:val="45C86729"/>
    <w:rsid w:val="45D5CAEA"/>
    <w:rsid w:val="45FD2AB2"/>
    <w:rsid w:val="462CFF20"/>
    <w:rsid w:val="465448DB"/>
    <w:rsid w:val="4695E1FB"/>
    <w:rsid w:val="46A4FCED"/>
    <w:rsid w:val="46B8B7F0"/>
    <w:rsid w:val="472DC83F"/>
    <w:rsid w:val="4787CE50"/>
    <w:rsid w:val="47C207A4"/>
    <w:rsid w:val="47F20F69"/>
    <w:rsid w:val="48135627"/>
    <w:rsid w:val="482116D1"/>
    <w:rsid w:val="48243530"/>
    <w:rsid w:val="4839E188"/>
    <w:rsid w:val="483E729A"/>
    <w:rsid w:val="48664475"/>
    <w:rsid w:val="48C19969"/>
    <w:rsid w:val="48C552A2"/>
    <w:rsid w:val="4917EFA2"/>
    <w:rsid w:val="4944F7CC"/>
    <w:rsid w:val="494FD788"/>
    <w:rsid w:val="49622C10"/>
    <w:rsid w:val="498197C1"/>
    <w:rsid w:val="49DEB839"/>
    <w:rsid w:val="4A31C233"/>
    <w:rsid w:val="4A3A1B0C"/>
    <w:rsid w:val="4A5DF3B1"/>
    <w:rsid w:val="4A63253F"/>
    <w:rsid w:val="4AC4B0A3"/>
    <w:rsid w:val="4AF4A837"/>
    <w:rsid w:val="4AF60664"/>
    <w:rsid w:val="4B19B060"/>
    <w:rsid w:val="4B66EF57"/>
    <w:rsid w:val="4BC575CC"/>
    <w:rsid w:val="4C971E0E"/>
    <w:rsid w:val="4CE8037C"/>
    <w:rsid w:val="4D612C4D"/>
    <w:rsid w:val="4DC8D370"/>
    <w:rsid w:val="4E82E6D1"/>
    <w:rsid w:val="4ECCFDD6"/>
    <w:rsid w:val="4EE2EB92"/>
    <w:rsid w:val="4F3A3F55"/>
    <w:rsid w:val="4F65ABFC"/>
    <w:rsid w:val="4F73EB3D"/>
    <w:rsid w:val="4F90B0F0"/>
    <w:rsid w:val="4FAF7EF4"/>
    <w:rsid w:val="4FC8BDEF"/>
    <w:rsid w:val="5010C2DE"/>
    <w:rsid w:val="5014DD52"/>
    <w:rsid w:val="501E9C02"/>
    <w:rsid w:val="508C6C01"/>
    <w:rsid w:val="50A1FCF6"/>
    <w:rsid w:val="50B2A92E"/>
    <w:rsid w:val="50BDB910"/>
    <w:rsid w:val="50CE6300"/>
    <w:rsid w:val="50E53434"/>
    <w:rsid w:val="50EC7C57"/>
    <w:rsid w:val="510E4FD3"/>
    <w:rsid w:val="51287F66"/>
    <w:rsid w:val="513F2F30"/>
    <w:rsid w:val="5144C481"/>
    <w:rsid w:val="51451324"/>
    <w:rsid w:val="51640045"/>
    <w:rsid w:val="51A2E51A"/>
    <w:rsid w:val="51BA6C63"/>
    <w:rsid w:val="51D4CC17"/>
    <w:rsid w:val="51D898F7"/>
    <w:rsid w:val="52310367"/>
    <w:rsid w:val="52349D70"/>
    <w:rsid w:val="5236D2D0"/>
    <w:rsid w:val="524BB91C"/>
    <w:rsid w:val="524E798F"/>
    <w:rsid w:val="52B28C12"/>
    <w:rsid w:val="52FB00DB"/>
    <w:rsid w:val="5314C6CF"/>
    <w:rsid w:val="5316F0ED"/>
    <w:rsid w:val="5386395A"/>
    <w:rsid w:val="538E8708"/>
    <w:rsid w:val="53D268B7"/>
    <w:rsid w:val="53E4B171"/>
    <w:rsid w:val="5425C850"/>
    <w:rsid w:val="547472C0"/>
    <w:rsid w:val="548E7C62"/>
    <w:rsid w:val="54962197"/>
    <w:rsid w:val="5498AA76"/>
    <w:rsid w:val="549CE8AA"/>
    <w:rsid w:val="54D1C607"/>
    <w:rsid w:val="54D56FA2"/>
    <w:rsid w:val="550C408D"/>
    <w:rsid w:val="556A28BA"/>
    <w:rsid w:val="5579CE8D"/>
    <w:rsid w:val="558A615E"/>
    <w:rsid w:val="55AEEF87"/>
    <w:rsid w:val="561131DC"/>
    <w:rsid w:val="563E9F24"/>
    <w:rsid w:val="56641415"/>
    <w:rsid w:val="567EF1EC"/>
    <w:rsid w:val="568196A4"/>
    <w:rsid w:val="56BB7875"/>
    <w:rsid w:val="56C2E1D1"/>
    <w:rsid w:val="56C3359C"/>
    <w:rsid w:val="56E73263"/>
    <w:rsid w:val="5752B172"/>
    <w:rsid w:val="575D5CA9"/>
    <w:rsid w:val="5775A5D1"/>
    <w:rsid w:val="57820B15"/>
    <w:rsid w:val="57936E01"/>
    <w:rsid w:val="57B7EEA0"/>
    <w:rsid w:val="57B80987"/>
    <w:rsid w:val="57E764E9"/>
    <w:rsid w:val="58025FEC"/>
    <w:rsid w:val="580C0804"/>
    <w:rsid w:val="5894C454"/>
    <w:rsid w:val="589B63CE"/>
    <w:rsid w:val="5909F4E5"/>
    <w:rsid w:val="59F86890"/>
    <w:rsid w:val="5A1A25EA"/>
    <w:rsid w:val="5A24537A"/>
    <w:rsid w:val="5A284569"/>
    <w:rsid w:val="5A5CF940"/>
    <w:rsid w:val="5A7B0E7B"/>
    <w:rsid w:val="5AA97328"/>
    <w:rsid w:val="5AE4D900"/>
    <w:rsid w:val="5AEC92C6"/>
    <w:rsid w:val="5B342158"/>
    <w:rsid w:val="5B59AAC1"/>
    <w:rsid w:val="5B92D3F5"/>
    <w:rsid w:val="5B941DDE"/>
    <w:rsid w:val="5BF2F995"/>
    <w:rsid w:val="5C202E48"/>
    <w:rsid w:val="5CA86C81"/>
    <w:rsid w:val="5CD69AB9"/>
    <w:rsid w:val="5CF7950C"/>
    <w:rsid w:val="5D2C9EA3"/>
    <w:rsid w:val="5D41561E"/>
    <w:rsid w:val="5D51C6AC"/>
    <w:rsid w:val="5D757C60"/>
    <w:rsid w:val="5DBBFEA9"/>
    <w:rsid w:val="5E0D3AFB"/>
    <w:rsid w:val="5E2AA293"/>
    <w:rsid w:val="5E30DAD2"/>
    <w:rsid w:val="5E52DCD3"/>
    <w:rsid w:val="5E7FC70E"/>
    <w:rsid w:val="5EA028D9"/>
    <w:rsid w:val="5EA3B68B"/>
    <w:rsid w:val="5EB762D3"/>
    <w:rsid w:val="5EE5CF0B"/>
    <w:rsid w:val="5EE91488"/>
    <w:rsid w:val="5EEF87B0"/>
    <w:rsid w:val="5EF6FC3D"/>
    <w:rsid w:val="5EFF7802"/>
    <w:rsid w:val="5F06FC77"/>
    <w:rsid w:val="5F0E474E"/>
    <w:rsid w:val="5F268677"/>
    <w:rsid w:val="5F565C39"/>
    <w:rsid w:val="5F5F1DF8"/>
    <w:rsid w:val="5FF5C677"/>
    <w:rsid w:val="6032A78B"/>
    <w:rsid w:val="603648AB"/>
    <w:rsid w:val="60B1DA5B"/>
    <w:rsid w:val="60B8A715"/>
    <w:rsid w:val="613126FF"/>
    <w:rsid w:val="6157930F"/>
    <w:rsid w:val="61D16CC2"/>
    <w:rsid w:val="61D494A3"/>
    <w:rsid w:val="62385DA0"/>
    <w:rsid w:val="62B98156"/>
    <w:rsid w:val="63166A24"/>
    <w:rsid w:val="6340CD34"/>
    <w:rsid w:val="63799F9F"/>
    <w:rsid w:val="639DBDA1"/>
    <w:rsid w:val="63EE7F21"/>
    <w:rsid w:val="6412B389"/>
    <w:rsid w:val="6468CFDB"/>
    <w:rsid w:val="646B37A6"/>
    <w:rsid w:val="646F08B5"/>
    <w:rsid w:val="6478E990"/>
    <w:rsid w:val="651A6356"/>
    <w:rsid w:val="6545B969"/>
    <w:rsid w:val="6551E17E"/>
    <w:rsid w:val="6625D29D"/>
    <w:rsid w:val="6651BFDC"/>
    <w:rsid w:val="666C749D"/>
    <w:rsid w:val="666F1C80"/>
    <w:rsid w:val="6704ACA3"/>
    <w:rsid w:val="670F476C"/>
    <w:rsid w:val="6729776B"/>
    <w:rsid w:val="6760F8C3"/>
    <w:rsid w:val="679FB9B6"/>
    <w:rsid w:val="67DD1539"/>
    <w:rsid w:val="67F3C1A1"/>
    <w:rsid w:val="67FE9C79"/>
    <w:rsid w:val="680F3E65"/>
    <w:rsid w:val="685F96AA"/>
    <w:rsid w:val="689324E5"/>
    <w:rsid w:val="68CD4368"/>
    <w:rsid w:val="68D3AA4D"/>
    <w:rsid w:val="68E4CFA3"/>
    <w:rsid w:val="69274979"/>
    <w:rsid w:val="693AC048"/>
    <w:rsid w:val="698E23E0"/>
    <w:rsid w:val="69A8EC87"/>
    <w:rsid w:val="69ECEE24"/>
    <w:rsid w:val="6A07CC16"/>
    <w:rsid w:val="6A30E2DE"/>
    <w:rsid w:val="6A79321A"/>
    <w:rsid w:val="6AAFD36C"/>
    <w:rsid w:val="6ABD502A"/>
    <w:rsid w:val="6AC69B9D"/>
    <w:rsid w:val="6ACEA262"/>
    <w:rsid w:val="6AE0F1AC"/>
    <w:rsid w:val="6B25D339"/>
    <w:rsid w:val="6B27847B"/>
    <w:rsid w:val="6B9F4807"/>
    <w:rsid w:val="6BA6CFEB"/>
    <w:rsid w:val="6BB33B53"/>
    <w:rsid w:val="6BB4E25B"/>
    <w:rsid w:val="6BBC7576"/>
    <w:rsid w:val="6BEC3D8D"/>
    <w:rsid w:val="6C33B922"/>
    <w:rsid w:val="6C5489D7"/>
    <w:rsid w:val="6C570CEB"/>
    <w:rsid w:val="6C745DDC"/>
    <w:rsid w:val="6C77B432"/>
    <w:rsid w:val="6C852598"/>
    <w:rsid w:val="6CB5128C"/>
    <w:rsid w:val="6CBE2D6A"/>
    <w:rsid w:val="6CCB23A2"/>
    <w:rsid w:val="6CE3AF5D"/>
    <w:rsid w:val="6CFBB43B"/>
    <w:rsid w:val="6CFEC6CA"/>
    <w:rsid w:val="6D08F0E2"/>
    <w:rsid w:val="6D335EF1"/>
    <w:rsid w:val="6D42B43A"/>
    <w:rsid w:val="6D463A98"/>
    <w:rsid w:val="6D5B0F49"/>
    <w:rsid w:val="6D6B4B33"/>
    <w:rsid w:val="6DA1ABFC"/>
    <w:rsid w:val="6DCBF6B2"/>
    <w:rsid w:val="6DF2DD4C"/>
    <w:rsid w:val="6E0CEE57"/>
    <w:rsid w:val="6E165B89"/>
    <w:rsid w:val="6E316C36"/>
    <w:rsid w:val="6E44C7BB"/>
    <w:rsid w:val="6E4D37BA"/>
    <w:rsid w:val="6E8D0508"/>
    <w:rsid w:val="6ECE6443"/>
    <w:rsid w:val="6EDB0630"/>
    <w:rsid w:val="6EEA0CA7"/>
    <w:rsid w:val="6F1EFCD4"/>
    <w:rsid w:val="6F43C0F5"/>
    <w:rsid w:val="6F70150A"/>
    <w:rsid w:val="6F9B0F62"/>
    <w:rsid w:val="6FE7321B"/>
    <w:rsid w:val="709E908D"/>
    <w:rsid w:val="70A926F8"/>
    <w:rsid w:val="70C9929E"/>
    <w:rsid w:val="70EC5264"/>
    <w:rsid w:val="71478E0E"/>
    <w:rsid w:val="7150146F"/>
    <w:rsid w:val="7178171E"/>
    <w:rsid w:val="718499E0"/>
    <w:rsid w:val="718EB726"/>
    <w:rsid w:val="71A604AF"/>
    <w:rsid w:val="71B7C090"/>
    <w:rsid w:val="71BC8F9B"/>
    <w:rsid w:val="71BD1828"/>
    <w:rsid w:val="722423DF"/>
    <w:rsid w:val="72A3A8AA"/>
    <w:rsid w:val="72F415C5"/>
    <w:rsid w:val="7306B676"/>
    <w:rsid w:val="7330AF29"/>
    <w:rsid w:val="73E80B03"/>
    <w:rsid w:val="73EED216"/>
    <w:rsid w:val="740050AE"/>
    <w:rsid w:val="743A58AA"/>
    <w:rsid w:val="749955AA"/>
    <w:rsid w:val="74C11EF9"/>
    <w:rsid w:val="74F4CF81"/>
    <w:rsid w:val="750D43C9"/>
    <w:rsid w:val="75153A1B"/>
    <w:rsid w:val="7534FAA7"/>
    <w:rsid w:val="7535B16D"/>
    <w:rsid w:val="756E0EB4"/>
    <w:rsid w:val="758AA277"/>
    <w:rsid w:val="75B3742F"/>
    <w:rsid w:val="75CE4C7A"/>
    <w:rsid w:val="75D7DDF9"/>
    <w:rsid w:val="75DD9581"/>
    <w:rsid w:val="760696CA"/>
    <w:rsid w:val="760AF34A"/>
    <w:rsid w:val="764179C7"/>
    <w:rsid w:val="766BD4C9"/>
    <w:rsid w:val="76B269DF"/>
    <w:rsid w:val="76E9FC5E"/>
    <w:rsid w:val="770AF20F"/>
    <w:rsid w:val="77B9080F"/>
    <w:rsid w:val="77BF4321"/>
    <w:rsid w:val="77C1D413"/>
    <w:rsid w:val="78305A1B"/>
    <w:rsid w:val="785C28AD"/>
    <w:rsid w:val="785FFFEB"/>
    <w:rsid w:val="7868386E"/>
    <w:rsid w:val="78F08624"/>
    <w:rsid w:val="78F9DD6B"/>
    <w:rsid w:val="791767B4"/>
    <w:rsid w:val="791B3613"/>
    <w:rsid w:val="792AD18D"/>
    <w:rsid w:val="79F190E8"/>
    <w:rsid w:val="7A2F35C4"/>
    <w:rsid w:val="7A4DC280"/>
    <w:rsid w:val="7A71BC9D"/>
    <w:rsid w:val="7AA89CA5"/>
    <w:rsid w:val="7AAE711E"/>
    <w:rsid w:val="7AD44365"/>
    <w:rsid w:val="7B18D8D5"/>
    <w:rsid w:val="7B8631D1"/>
    <w:rsid w:val="7BA7FFD6"/>
    <w:rsid w:val="7BB70351"/>
    <w:rsid w:val="7BCDB530"/>
    <w:rsid w:val="7BE64128"/>
    <w:rsid w:val="7C2085B2"/>
    <w:rsid w:val="7C4EA3A5"/>
    <w:rsid w:val="7C6A734A"/>
    <w:rsid w:val="7CCB4728"/>
    <w:rsid w:val="7D41CE02"/>
    <w:rsid w:val="7D4FDE93"/>
    <w:rsid w:val="7D9AE005"/>
    <w:rsid w:val="7DA17714"/>
    <w:rsid w:val="7DA92A4E"/>
    <w:rsid w:val="7E36A3BE"/>
    <w:rsid w:val="7E7A4356"/>
    <w:rsid w:val="7E91B56C"/>
    <w:rsid w:val="7ED0C2A6"/>
    <w:rsid w:val="7EF93C5B"/>
    <w:rsid w:val="7F19904F"/>
    <w:rsid w:val="7F2E5F35"/>
    <w:rsid w:val="7F318D02"/>
    <w:rsid w:val="7F571C88"/>
    <w:rsid w:val="7F695DDF"/>
    <w:rsid w:val="7F6D1C0A"/>
    <w:rsid w:val="7F6DD69F"/>
    <w:rsid w:val="7F83BC8F"/>
    <w:rsid w:val="7FEB0D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D1066BF"/>
  <w15:docId w15:val="{F4B1B36A-4DCF-43E1-B1E9-6D398AE8089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eastAsia="Times New Roman" w:cs="Times New Roman" w:asciiTheme="minorHAnsi" w:hAnsiTheme="minorHAnsi"/>
        <w:sz w:val="19"/>
        <w:szCs w:val="19"/>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semiHidden="1" w:unhideWhenUsed="1"/>
    <w:lsdException w:name="toc 4" w:semiHidden="1" w:unhideWhenUsed="1"/>
    <w:lsdException w:name="toc 5"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39"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3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Document Map" w:uiPriority="39" w:semiHidden="1" w:unhideWhenUsed="1"/>
    <w:lsdException w:name="Plain Text" w:uiPriority="39"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39"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rsid w:val="003525BB"/>
    <w:pPr>
      <w:spacing w:line="270" w:lineRule="atLeast"/>
    </w:pPr>
    <w:rPr>
      <w:spacing w:val="2"/>
    </w:rPr>
  </w:style>
  <w:style w:type="paragraph" w:styleId="Heading1">
    <w:name w:val="heading 1"/>
    <w:basedOn w:val="BodyText"/>
    <w:next w:val="BodyText"/>
    <w:link w:val="Heading1Char"/>
    <w:qFormat/>
    <w:rsid w:val="00B33137"/>
    <w:pPr>
      <w:keepNext/>
      <w:pageBreakBefore/>
      <w:framePr w:w="10319" w:hSpace="11340" w:wrap="around" w:hAnchor="page" w:vAnchor="page" w:x="795" w:y="795"/>
      <w:pBdr>
        <w:top w:val="single" w:color="8ACED7" w:themeColor="accent1" w:sz="4" w:space="7"/>
        <w:bottom w:val="single" w:color="8ACED7" w:themeColor="accent1" w:sz="12" w:space="8"/>
      </w:pBdr>
      <w:spacing w:before="0" w:after="0" w:line="560" w:lineRule="exact"/>
      <w:outlineLvl w:val="0"/>
    </w:pPr>
    <w:rPr>
      <w:rFonts w:asciiTheme="majorHAnsi" w:hAnsiTheme="majorHAnsi"/>
      <w:b/>
      <w:color w:val="8ACED7" w:themeColor="accent1"/>
      <w:spacing w:val="6"/>
      <w:sz w:val="56"/>
    </w:rPr>
  </w:style>
  <w:style w:type="paragraph" w:styleId="Heading2">
    <w:name w:val="heading 2"/>
    <w:basedOn w:val="BodyText"/>
    <w:next w:val="BodyText"/>
    <w:link w:val="Heading2Char"/>
    <w:qFormat/>
    <w:rsid w:val="00B2654D"/>
    <w:pPr>
      <w:keepNext/>
      <w:spacing w:before="220" w:line="240" w:lineRule="auto"/>
      <w:outlineLvl w:val="1"/>
    </w:pPr>
    <w:rPr>
      <w:rFonts w:asciiTheme="majorHAnsi" w:hAnsiTheme="majorHAnsi"/>
      <w:b/>
      <w:caps/>
      <w:color w:val="003263" w:themeColor="text2"/>
      <w:spacing w:val="6"/>
      <w:sz w:val="24"/>
    </w:rPr>
  </w:style>
  <w:style w:type="paragraph" w:styleId="Heading3">
    <w:name w:val="heading 3"/>
    <w:basedOn w:val="AppendixHeading3"/>
    <w:next w:val="BodyText"/>
    <w:link w:val="Heading3Char"/>
    <w:qFormat/>
    <w:rsid w:val="004C130A"/>
    <w:pPr>
      <w:outlineLvl w:val="2"/>
    </w:pPr>
  </w:style>
  <w:style w:type="paragraph" w:styleId="Heading4">
    <w:name w:val="heading 4"/>
    <w:basedOn w:val="Normal"/>
    <w:next w:val="BodyText"/>
    <w:link w:val="Heading4Char"/>
    <w:rsid w:val="004C130A"/>
    <w:pPr>
      <w:keepNext/>
      <w:spacing w:before="240" w:after="120" w:line="240" w:lineRule="auto"/>
      <w:outlineLvl w:val="3"/>
    </w:pPr>
    <w:rPr>
      <w:bCs/>
      <w:color w:val="003263" w:themeColor="text2"/>
      <w:sz w:val="20"/>
      <w:szCs w:val="28"/>
    </w:rPr>
  </w:style>
  <w:style w:type="paragraph" w:styleId="Heading5">
    <w:name w:val="heading 5"/>
    <w:basedOn w:val="Normal"/>
    <w:next w:val="Normal"/>
    <w:link w:val="Heading5Char"/>
    <w:rsid w:val="004C130A"/>
    <w:pPr>
      <w:spacing w:before="240" w:after="60" w:line="240" w:lineRule="auto"/>
      <w:outlineLvl w:val="4"/>
    </w:pPr>
    <w:rPr>
      <w:b/>
      <w:bCs/>
      <w:iCs/>
      <w:color w:val="231F20" w:themeColor="text1"/>
      <w:szCs w:val="26"/>
    </w:rPr>
  </w:style>
  <w:style w:type="paragraph" w:styleId="Heading6">
    <w:name w:val="heading 6"/>
    <w:basedOn w:val="Normal"/>
    <w:next w:val="Normal"/>
    <w:link w:val="Heading6Char"/>
    <w:rsid w:val="004C130A"/>
    <w:pPr>
      <w:spacing w:before="240" w:after="120" w:line="240" w:lineRule="auto"/>
      <w:outlineLvl w:val="5"/>
    </w:pPr>
    <w:rPr>
      <w:b/>
      <w:bCs/>
      <w:i/>
      <w:color w:val="231F20" w:themeColor="text1"/>
    </w:rPr>
  </w:style>
  <w:style w:type="paragraph" w:styleId="Heading7">
    <w:name w:val="heading 7"/>
    <w:basedOn w:val="Normal"/>
    <w:next w:val="Normal"/>
    <w:link w:val="Heading7Char"/>
    <w:semiHidden/>
    <w:rsid w:val="00BF3A65"/>
    <w:pPr>
      <w:spacing w:before="240" w:after="60"/>
      <w:outlineLvl w:val="6"/>
    </w:pPr>
    <w:rPr>
      <w:sz w:val="24"/>
      <w:szCs w:val="24"/>
    </w:rPr>
  </w:style>
  <w:style w:type="paragraph" w:styleId="Heading8">
    <w:name w:val="heading 8"/>
    <w:basedOn w:val="Normal"/>
    <w:next w:val="Normal"/>
    <w:link w:val="Heading8Char"/>
    <w:semiHidden/>
    <w:rsid w:val="00BF3A65"/>
    <w:pPr>
      <w:spacing w:before="240" w:after="60"/>
      <w:outlineLvl w:val="7"/>
    </w:pPr>
    <w:rPr>
      <w:i/>
      <w:iCs/>
      <w:sz w:val="24"/>
      <w:szCs w:val="24"/>
    </w:rPr>
  </w:style>
  <w:style w:type="paragraph" w:styleId="Heading9">
    <w:name w:val="heading 9"/>
    <w:basedOn w:val="Normal"/>
    <w:next w:val="Normal"/>
    <w:link w:val="Heading9Char"/>
    <w:semiHidden/>
    <w:rsid w:val="00BF3A65"/>
    <w:pPr>
      <w:spacing w:before="240" w:after="60"/>
      <w:outlineLvl w:val="8"/>
    </w:pPr>
    <w:rPr>
      <w:rFonts w:cs="Arial"/>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rsid w:val="005F39EC"/>
    <w:pPr>
      <w:tabs>
        <w:tab w:val="center" w:pos="4513"/>
        <w:tab w:val="right" w:pos="9026"/>
      </w:tabs>
    </w:pPr>
  </w:style>
  <w:style w:type="character" w:styleId="HeaderChar" w:customStyle="1">
    <w:name w:val="Header Char"/>
    <w:basedOn w:val="DefaultParagraphFont"/>
    <w:link w:val="Header"/>
    <w:uiPriority w:val="99"/>
    <w:rsid w:val="005F39EC"/>
    <w:rPr>
      <w:spacing w:val="2"/>
    </w:rPr>
  </w:style>
  <w:style w:type="paragraph" w:styleId="Footer">
    <w:name w:val="footer"/>
    <w:basedOn w:val="Normal"/>
    <w:link w:val="FooterChar"/>
    <w:uiPriority w:val="99"/>
    <w:rsid w:val="00034A7D"/>
    <w:pPr>
      <w:spacing w:line="190" w:lineRule="atLeast"/>
      <w:ind w:right="-340"/>
      <w:jc w:val="right"/>
    </w:pPr>
    <w:rPr>
      <w:sz w:val="16"/>
    </w:rPr>
  </w:style>
  <w:style w:type="character" w:styleId="FooterChar" w:customStyle="1">
    <w:name w:val="Footer Char"/>
    <w:basedOn w:val="DefaultParagraphFont"/>
    <w:link w:val="Footer"/>
    <w:uiPriority w:val="99"/>
    <w:rsid w:val="00034A7D"/>
    <w:rPr>
      <w:spacing w:val="2"/>
      <w:sz w:val="16"/>
    </w:rPr>
  </w:style>
  <w:style w:type="paragraph" w:styleId="BalloonText">
    <w:name w:val="Balloon Text"/>
    <w:basedOn w:val="Normal"/>
    <w:link w:val="BalloonTextChar"/>
    <w:semiHidden/>
    <w:rsid w:val="00FD57F5"/>
    <w:rPr>
      <w:rFonts w:ascii="Tahoma" w:hAnsi="Tahoma" w:cs="Tahoma"/>
      <w:sz w:val="16"/>
      <w:szCs w:val="16"/>
    </w:rPr>
  </w:style>
  <w:style w:type="paragraph" w:styleId="Emailaddress" w:customStyle="1">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styleId="ListContinue2Char" w:customStyle="1">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styleId="ListContinue3Char" w:customStyle="1">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C9527A"/>
    <w:pPr>
      <w:spacing w:before="40" w:after="80"/>
    </w:pPr>
    <w:rPr>
      <w:sz w:val="18"/>
    </w:rPr>
    <w:tblPr>
      <w:tblBorders>
        <w:top w:val="single" w:color="003263" w:themeColor="text2" w:sz="4" w:space="0"/>
        <w:bottom w:val="single" w:color="003263" w:themeColor="text2" w:sz="4" w:space="0"/>
        <w:insideH w:val="single" w:color="003263" w:themeColor="text2" w:sz="4" w:space="0"/>
      </w:tblBorders>
      <w:tblCellMar>
        <w:left w:w="57" w:type="dxa"/>
        <w:right w:w="57" w:type="dxa"/>
      </w:tblCellMar>
    </w:tblPr>
    <w:tblStylePr w:type="firstRow">
      <w:pPr>
        <w:keepNext/>
        <w:keepLines w:val="0"/>
        <w:wordWrap/>
      </w:pPr>
      <w:rPr>
        <w:b/>
      </w:rPr>
      <w:tblPr/>
      <w:trPr>
        <w:tblHeader/>
      </w:trPr>
      <w:tcPr>
        <w:shd w:val="clear" w:color="auto" w:fill="003263" w:themeFill="text2"/>
      </w:tcPr>
    </w:tblStylePr>
  </w:style>
  <w:style w:type="paragraph" w:styleId="BodyText">
    <w:name w:val="Body Text"/>
    <w:basedOn w:val="Normal"/>
    <w:link w:val="BodyTextChar"/>
    <w:qFormat/>
    <w:rsid w:val="00B2654D"/>
    <w:pPr>
      <w:spacing w:before="120" w:after="120"/>
    </w:pPr>
  </w:style>
  <w:style w:type="character" w:styleId="BodyTextChar" w:customStyle="1">
    <w:name w:val="Body Text Char"/>
    <w:basedOn w:val="DefaultParagraphFont"/>
    <w:link w:val="BodyText"/>
    <w:rsid w:val="00B2654D"/>
    <w:rPr>
      <w:spacing w:val="2"/>
    </w:rPr>
  </w:style>
  <w:style w:type="paragraph" w:styleId="ListBullet">
    <w:name w:val="List Bullet"/>
    <w:basedOn w:val="BodyText"/>
    <w:qFormat/>
    <w:rsid w:val="00B2654D"/>
    <w:pPr>
      <w:numPr>
        <w:numId w:val="7"/>
      </w:numPr>
      <w:spacing w:before="110" w:after="110"/>
    </w:pPr>
  </w:style>
  <w:style w:type="paragraph" w:styleId="ListBullet2">
    <w:name w:val="List Bullet 2"/>
    <w:basedOn w:val="ListBullet"/>
    <w:qFormat/>
    <w:rsid w:val="004B545B"/>
    <w:pPr>
      <w:numPr>
        <w:numId w:val="0"/>
      </w:numPr>
      <w:tabs>
        <w:tab w:val="num" w:pos="360"/>
      </w:tabs>
      <w:ind w:left="360" w:hanging="360"/>
    </w:pPr>
  </w:style>
  <w:style w:type="paragraph" w:styleId="ListBullet3">
    <w:name w:val="List Bullet 3"/>
    <w:basedOn w:val="ListBullet2"/>
    <w:qFormat/>
    <w:rsid w:val="004B545B"/>
    <w:pPr>
      <w:numPr>
        <w:ilvl w:val="2"/>
      </w:numPr>
      <w:tabs>
        <w:tab w:val="num" w:pos="340"/>
      </w:tabs>
      <w:ind w:left="340" w:hanging="170"/>
    </w:pPr>
  </w:style>
  <w:style w:type="paragraph" w:styleId="ListNumber">
    <w:name w:val="List Number"/>
    <w:basedOn w:val="BodyText"/>
    <w:qFormat/>
    <w:rsid w:val="004B545B"/>
    <w:pPr>
      <w:numPr>
        <w:numId w:val="2"/>
      </w:numPr>
      <w:spacing w:after="100"/>
    </w:pPr>
  </w:style>
  <w:style w:type="paragraph" w:styleId="ListNumber2">
    <w:name w:val="List Number 2"/>
    <w:basedOn w:val="ListNumber"/>
    <w:qFormat/>
    <w:rsid w:val="004B545B"/>
    <w:pPr>
      <w:numPr>
        <w:ilvl w:val="1"/>
      </w:numPr>
    </w:pPr>
  </w:style>
  <w:style w:type="paragraph" w:styleId="ListNumber3">
    <w:name w:val="List Number 3"/>
    <w:basedOn w:val="ListNumber2"/>
    <w:qFormat/>
    <w:rsid w:val="004B545B"/>
    <w:pPr>
      <w:numPr>
        <w:ilvl w:val="2"/>
      </w:numPr>
    </w:pPr>
  </w:style>
  <w:style w:type="character" w:styleId="PlaceholderText">
    <w:name w:val="Placeholder Text"/>
    <w:basedOn w:val="DefaultParagraphFont"/>
    <w:uiPriority w:val="99"/>
    <w:semiHidden/>
    <w:rsid w:val="009A2FBA"/>
    <w:rPr>
      <w:color w:val="808080"/>
    </w:rPr>
  </w:style>
  <w:style w:type="paragraph" w:styleId="AppendixHeading1" w:customStyle="1">
    <w:name w:val="Appendix Heading 1"/>
    <w:basedOn w:val="Normal"/>
    <w:next w:val="BodyText"/>
    <w:uiPriority w:val="1"/>
    <w:rsid w:val="00CB6F8E"/>
    <w:pPr>
      <w:keepNext/>
      <w:pageBreakBefore/>
      <w:framePr w:w="10319" w:hSpace="11340" w:wrap="around" w:hAnchor="page" w:vAnchor="page" w:x="795" w:y="795"/>
      <w:numPr>
        <w:numId w:val="3"/>
      </w:numPr>
      <w:pBdr>
        <w:top w:val="single" w:color="8ACED7" w:themeColor="accent1" w:sz="4" w:space="7"/>
        <w:bottom w:val="single" w:color="8ACED7" w:themeColor="accent1" w:sz="12" w:space="8"/>
      </w:pBdr>
      <w:spacing w:line="560" w:lineRule="exact"/>
      <w:outlineLvl w:val="0"/>
    </w:pPr>
    <w:rPr>
      <w:rFonts w:asciiTheme="majorHAnsi" w:hAnsiTheme="majorHAnsi"/>
      <w:b/>
      <w:color w:val="8ACED7" w:themeColor="accent1"/>
      <w:sz w:val="56"/>
    </w:rPr>
  </w:style>
  <w:style w:type="paragraph" w:styleId="Title">
    <w:name w:val="Title"/>
    <w:basedOn w:val="Normal"/>
    <w:next w:val="Normal"/>
    <w:link w:val="TitleChar"/>
    <w:rsid w:val="0032135D"/>
    <w:pPr>
      <w:spacing w:line="192" w:lineRule="auto"/>
    </w:pPr>
    <w:rPr>
      <w:rFonts w:asciiTheme="majorHAnsi" w:hAnsiTheme="majorHAnsi" w:eastAsiaTheme="majorEastAsia" w:cstheme="majorBidi"/>
      <w:b/>
      <w:caps/>
      <w:color w:val="003263" w:themeColor="text2"/>
      <w:spacing w:val="0"/>
      <w:kern w:val="28"/>
      <w:sz w:val="84"/>
      <w:szCs w:val="56"/>
    </w:rPr>
  </w:style>
  <w:style w:type="character" w:styleId="TitleChar" w:customStyle="1">
    <w:name w:val="Title Char"/>
    <w:basedOn w:val="DefaultParagraphFont"/>
    <w:link w:val="Title"/>
    <w:rsid w:val="0032135D"/>
    <w:rPr>
      <w:rFonts w:asciiTheme="majorHAnsi" w:hAnsiTheme="majorHAnsi" w:eastAsiaTheme="majorEastAsia" w:cstheme="majorBidi"/>
      <w:b/>
      <w:caps/>
      <w:color w:val="003263" w:themeColor="text2"/>
      <w:kern w:val="28"/>
      <w:sz w:val="84"/>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color="FFFFFF" w:themeColor="background1" w:sz="4" w:space="0"/>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color="FFFFFF" w:themeColor="background1" w:sz="4" w:space="0"/>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color="FFFFFF" w:themeColor="background1" w:sz="4" w:space="0"/>
      </w:tblBorders>
    </w:tblPr>
    <w:tcPr>
      <w:shd w:val="clear" w:color="auto" w:fill="ACD5FF" w:themeFill="accent2" w:themeFillTint="33"/>
    </w:tcPr>
    <w:tblStylePr w:type="firstRow">
      <w:rPr>
        <w:b/>
        <w:bCs/>
      </w:rPr>
      <w:tblPr/>
      <w:tcPr>
        <w:shd w:val="clear" w:color="auto" w:fill="5AACFF" w:themeFill="accent2" w:themeFillTint="66"/>
      </w:tcPr>
    </w:tblStylePr>
    <w:tblStylePr w:type="lastRow">
      <w:rPr>
        <w:b/>
        <w:bCs/>
        <w:color w:val="231F20" w:themeColor="text1"/>
      </w:rPr>
      <w:tblPr/>
      <w:tcPr>
        <w:shd w:val="clear" w:color="auto" w:fill="5AACFF" w:themeFill="accent2" w:themeFillTint="66"/>
      </w:tcPr>
    </w:tblStylePr>
    <w:tblStylePr w:type="firstCol">
      <w:rPr>
        <w:color w:val="FFFFFF" w:themeColor="background1"/>
      </w:rPr>
      <w:tblPr/>
      <w:tcPr>
        <w:shd w:val="clear" w:color="auto" w:fill="00254A" w:themeFill="accent2" w:themeFillShade="BF"/>
      </w:tcPr>
    </w:tblStylePr>
    <w:tblStylePr w:type="lastCol">
      <w:rPr>
        <w:color w:val="FFFFFF" w:themeColor="background1"/>
      </w:rPr>
      <w:tblPr/>
      <w:tcPr>
        <w:shd w:val="clear" w:color="auto" w:fill="00254A" w:themeFill="accent2" w:themeFillShade="BF"/>
      </w:tc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color="FFFFFF" w:themeColor="background1" w:sz="4" w:space="0"/>
      </w:tblBorders>
    </w:tblPr>
    <w:tcPr>
      <w:shd w:val="clear" w:color="auto" w:fill="FCDBD5" w:themeFill="accent3" w:themeFillTint="33"/>
    </w:tcPr>
    <w:tblStylePr w:type="firstRow">
      <w:rPr>
        <w:b/>
        <w:bCs/>
      </w:rPr>
      <w:tblPr/>
      <w:tcPr>
        <w:shd w:val="clear" w:color="auto" w:fill="F9B8AB" w:themeFill="accent3" w:themeFillTint="66"/>
      </w:tcPr>
    </w:tblStylePr>
    <w:tblStylePr w:type="lastRow">
      <w:rPr>
        <w:b/>
        <w:bCs/>
        <w:color w:val="231F20" w:themeColor="text1"/>
      </w:rPr>
      <w:tblPr/>
      <w:tcPr>
        <w:shd w:val="clear" w:color="auto" w:fill="F9B8AB" w:themeFill="accent3" w:themeFillTint="66"/>
      </w:tcPr>
    </w:tblStylePr>
    <w:tblStylePr w:type="firstCol">
      <w:rPr>
        <w:color w:val="FFFFFF" w:themeColor="background1"/>
      </w:rPr>
      <w:tblPr/>
      <w:tcPr>
        <w:shd w:val="clear" w:color="auto" w:fill="C72D0E" w:themeFill="accent3" w:themeFillShade="BF"/>
      </w:tcPr>
    </w:tblStylePr>
    <w:tblStylePr w:type="lastCol">
      <w:rPr>
        <w:color w:val="FFFFFF" w:themeColor="background1"/>
      </w:rPr>
      <w:tblPr/>
      <w:tcPr>
        <w:shd w:val="clear" w:color="auto" w:fill="C72D0E" w:themeFill="accent3" w:themeFillShade="BF"/>
      </w:tc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color="FFFFFF" w:themeColor="background1" w:sz="4" w:space="0"/>
      </w:tblBorders>
    </w:tblPr>
    <w:tcPr>
      <w:shd w:val="clear" w:color="auto" w:fill="DBF2EC" w:themeFill="accent4" w:themeFillTint="33"/>
    </w:tcPr>
    <w:tblStylePr w:type="firstRow">
      <w:rPr>
        <w:b/>
        <w:bCs/>
      </w:rPr>
      <w:tblPr/>
      <w:tcPr>
        <w:shd w:val="clear" w:color="auto" w:fill="B8E5D9" w:themeFill="accent4" w:themeFillTint="66"/>
      </w:tcPr>
    </w:tblStylePr>
    <w:tblStylePr w:type="lastRow">
      <w:rPr>
        <w:b/>
        <w:bCs/>
        <w:color w:val="231F20" w:themeColor="text1"/>
      </w:rPr>
      <w:tblPr/>
      <w:tcPr>
        <w:shd w:val="clear" w:color="auto" w:fill="B8E5D9" w:themeFill="accent4" w:themeFillTint="66"/>
      </w:tcPr>
    </w:tblStylePr>
    <w:tblStylePr w:type="firstCol">
      <w:rPr>
        <w:color w:val="FFFFFF" w:themeColor="background1"/>
      </w:rPr>
      <w:tblPr/>
      <w:tcPr>
        <w:shd w:val="clear" w:color="auto" w:fill="36947B" w:themeFill="accent4" w:themeFillShade="BF"/>
      </w:tcPr>
    </w:tblStylePr>
    <w:tblStylePr w:type="lastCol">
      <w:rPr>
        <w:color w:val="FFFFFF" w:themeColor="background1"/>
      </w:rPr>
      <w:tblPr/>
      <w:tcPr>
        <w:shd w:val="clear" w:color="auto" w:fill="36947B" w:themeFill="accent4" w:themeFillShade="BF"/>
      </w:tc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color="FFFFFF" w:themeColor="background1" w:sz="4" w:space="0"/>
      </w:tblBorders>
    </w:tblPr>
    <w:tcPr>
      <w:shd w:val="clear" w:color="auto" w:fill="EADFED" w:themeFill="accent5" w:themeFillTint="33"/>
    </w:tcPr>
    <w:tblStylePr w:type="firstRow">
      <w:rPr>
        <w:b/>
        <w:bCs/>
      </w:rPr>
      <w:tblPr/>
      <w:tcPr>
        <w:shd w:val="clear" w:color="auto" w:fill="D6C0DC" w:themeFill="accent5" w:themeFillTint="66"/>
      </w:tcPr>
    </w:tblStylePr>
    <w:tblStylePr w:type="lastRow">
      <w:rPr>
        <w:b/>
        <w:bCs/>
        <w:color w:val="231F20" w:themeColor="text1"/>
      </w:rPr>
      <w:tblPr/>
      <w:tcPr>
        <w:shd w:val="clear" w:color="auto" w:fill="D6C0DC" w:themeFill="accent5" w:themeFillTint="66"/>
      </w:tcPr>
    </w:tblStylePr>
    <w:tblStylePr w:type="firstCol">
      <w:rPr>
        <w:color w:val="FFFFFF" w:themeColor="background1"/>
      </w:rPr>
      <w:tblPr/>
      <w:tcPr>
        <w:shd w:val="clear" w:color="auto" w:fill="744881" w:themeFill="accent5" w:themeFillShade="BF"/>
      </w:tcPr>
    </w:tblStylePr>
    <w:tblStylePr w:type="lastCol">
      <w:rPr>
        <w:color w:val="FFFFFF" w:themeColor="background1"/>
      </w:rPr>
      <w:tblPr/>
      <w:tcPr>
        <w:shd w:val="clear" w:color="auto" w:fill="744881" w:themeFill="accent5" w:themeFillShade="BF"/>
      </w:tc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color="FFFFFF" w:themeColor="background1" w:sz="4" w:space="0"/>
      </w:tblBorders>
    </w:tblPr>
    <w:tcPr>
      <w:shd w:val="clear" w:color="auto" w:fill="FFF5DF" w:themeFill="accent6" w:themeFillTint="33"/>
    </w:tcPr>
    <w:tblStylePr w:type="firstRow">
      <w:rPr>
        <w:b/>
        <w:bCs/>
      </w:rPr>
      <w:tblPr/>
      <w:tcPr>
        <w:shd w:val="clear" w:color="auto" w:fill="FFEBC0" w:themeFill="accent6" w:themeFillTint="66"/>
      </w:tcPr>
    </w:tblStylePr>
    <w:tblStylePr w:type="lastRow">
      <w:rPr>
        <w:b/>
        <w:bCs/>
        <w:color w:val="231F20" w:themeColor="text1"/>
      </w:rPr>
      <w:tblPr/>
      <w:tcPr>
        <w:shd w:val="clear" w:color="auto" w:fill="FFEBC0" w:themeFill="accent6" w:themeFillTint="66"/>
      </w:tcPr>
    </w:tblStylePr>
    <w:tblStylePr w:type="firstCol">
      <w:rPr>
        <w:color w:val="FFFFFF" w:themeColor="background1"/>
      </w:rPr>
      <w:tblPr/>
      <w:tcPr>
        <w:shd w:val="clear" w:color="auto" w:fill="FFB309" w:themeFill="accent6" w:themeFillShade="BF"/>
      </w:tcPr>
    </w:tblStylePr>
    <w:tblStylePr w:type="lastCol">
      <w:rPr>
        <w:color w:val="FFFFFF" w:themeColor="background1"/>
      </w:rPr>
      <w:tblPr/>
      <w:tcPr>
        <w:shd w:val="clear" w:color="auto" w:fill="FFB309" w:themeFill="accent6" w:themeFillShade="BF"/>
      </w:tc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color="FFFFFF" w:themeColor="background1" w:sz="12" w:space="0"/>
        </w:tcBorders>
        <w:shd w:val="clear" w:color="auto" w:fill="00274F" w:themeFill="accent2" w:themeFillShade="CC"/>
      </w:tcPr>
    </w:tblStylePr>
    <w:tblStylePr w:type="lastRow">
      <w:rPr>
        <w:b/>
        <w:bCs/>
        <w:color w:val="00274F" w:themeColor="accent2" w:themeShade="CC"/>
      </w:rPr>
      <w:tblPr/>
      <w:tcPr>
        <w:tcBorders>
          <w:top w:val="single" w:color="231F2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color="FFFFFF" w:themeColor="background1" w:sz="12" w:space="0"/>
        </w:tcBorders>
        <w:shd w:val="clear" w:color="auto" w:fill="00274F" w:themeFill="accent2" w:themeFillShade="CC"/>
      </w:tcPr>
    </w:tblStylePr>
    <w:tblStylePr w:type="lastRow">
      <w:rPr>
        <w:b/>
        <w:bCs/>
        <w:color w:val="00274F" w:themeColor="accent2" w:themeShade="CC"/>
      </w:rPr>
      <w:tblPr/>
      <w:tcPr>
        <w:tcBorders>
          <w:top w:val="single" w:color="231F2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D6EAFF" w:themeFill="accent2" w:themeFillTint="19"/>
    </w:tcPr>
    <w:tblStylePr w:type="firstRow">
      <w:rPr>
        <w:b/>
        <w:bCs/>
        <w:color w:val="FFFFFF" w:themeColor="background1"/>
      </w:rPr>
      <w:tblPr/>
      <w:tcPr>
        <w:tcBorders>
          <w:bottom w:val="single" w:color="FFFFFF" w:themeColor="background1" w:sz="12" w:space="0"/>
        </w:tcBorders>
        <w:shd w:val="clear" w:color="auto" w:fill="00274F" w:themeFill="accent2" w:themeFillShade="CC"/>
      </w:tcPr>
    </w:tblStylePr>
    <w:tblStylePr w:type="lastRow">
      <w:rPr>
        <w:b/>
        <w:bCs/>
        <w:color w:val="00274F" w:themeColor="accent2" w:themeShade="CC"/>
      </w:rPr>
      <w:tblPr/>
      <w:tcPr>
        <w:tcBorders>
          <w:top w:val="single" w:color="231F2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CCFF" w:themeFill="accent2" w:themeFillTint="3F"/>
      </w:tcPr>
    </w:tblStylePr>
    <w:tblStylePr w:type="band1Horz">
      <w:tblPr/>
      <w:tcPr>
        <w:shd w:val="clear" w:color="auto" w:fill="ACD5FF"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FDEDEA" w:themeFill="accent3" w:themeFillTint="19"/>
    </w:tcPr>
    <w:tblStylePr w:type="firstRow">
      <w:rPr>
        <w:b/>
        <w:bCs/>
        <w:color w:val="FFFFFF" w:themeColor="background1"/>
      </w:rPr>
      <w:tblPr/>
      <w:tcPr>
        <w:tcBorders>
          <w:bottom w:val="single" w:color="FFFFFF" w:themeColor="background1" w:sz="12" w:space="0"/>
        </w:tcBorders>
        <w:shd w:val="clear" w:color="auto" w:fill="3A9E84" w:themeFill="accent4" w:themeFillShade="CC"/>
      </w:tcPr>
    </w:tblStylePr>
    <w:tblStylePr w:type="lastRow">
      <w:rPr>
        <w:b/>
        <w:bCs/>
        <w:color w:val="3A9E84" w:themeColor="accent4" w:themeShade="CC"/>
      </w:rPr>
      <w:tblPr/>
      <w:tcPr>
        <w:tcBorders>
          <w:top w:val="single" w:color="231F2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3CB" w:themeFill="accent3" w:themeFillTint="3F"/>
      </w:tcPr>
    </w:tblStylePr>
    <w:tblStylePr w:type="band1Horz">
      <w:tblPr/>
      <w:tcPr>
        <w:shd w:val="clear" w:color="auto" w:fill="FCDBD5"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EDF8F5" w:themeFill="accent4" w:themeFillTint="19"/>
    </w:tcPr>
    <w:tblStylePr w:type="firstRow">
      <w:rPr>
        <w:b/>
        <w:bCs/>
        <w:color w:val="FFFFFF" w:themeColor="background1"/>
      </w:rPr>
      <w:tblPr/>
      <w:tcPr>
        <w:tcBorders>
          <w:bottom w:val="single" w:color="FFFFFF" w:themeColor="background1" w:sz="12" w:space="0"/>
        </w:tcBorders>
        <w:shd w:val="clear" w:color="auto" w:fill="D4300F" w:themeFill="accent3" w:themeFillShade="CC"/>
      </w:tcPr>
    </w:tblStylePr>
    <w:tblStylePr w:type="lastRow">
      <w:rPr>
        <w:b/>
        <w:bCs/>
        <w:color w:val="D4300F" w:themeColor="accent3" w:themeShade="CC"/>
      </w:rPr>
      <w:tblPr/>
      <w:tcPr>
        <w:tcBorders>
          <w:top w:val="single" w:color="231F2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FE7" w:themeFill="accent4" w:themeFillTint="3F"/>
      </w:tcPr>
    </w:tblStylePr>
    <w:tblStylePr w:type="band1Horz">
      <w:tblPr/>
      <w:tcPr>
        <w:shd w:val="clear" w:color="auto" w:fill="DBF2EC"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5EFF6" w:themeFill="accent5" w:themeFillTint="19"/>
    </w:tcPr>
    <w:tblStylePr w:type="firstRow">
      <w:rPr>
        <w:b/>
        <w:bCs/>
        <w:color w:val="FFFFFF" w:themeColor="background1"/>
      </w:rPr>
      <w:tblPr/>
      <w:tcPr>
        <w:tcBorders>
          <w:bottom w:val="single" w:color="FFFFFF" w:themeColor="background1" w:sz="12" w:space="0"/>
        </w:tcBorders>
        <w:shd w:val="clear" w:color="auto" w:fill="FFB91B" w:themeFill="accent6" w:themeFillShade="CC"/>
      </w:tcPr>
    </w:tblStylePr>
    <w:tblStylePr w:type="lastRow">
      <w:rPr>
        <w:b/>
        <w:bCs/>
        <w:color w:val="FFB91B" w:themeColor="accent6" w:themeShade="CC"/>
      </w:rPr>
      <w:tblPr/>
      <w:tcPr>
        <w:tcBorders>
          <w:top w:val="single" w:color="231F2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8E9" w:themeFill="accent5" w:themeFillTint="3F"/>
      </w:tcPr>
    </w:tblStylePr>
    <w:tblStylePr w:type="band1Horz">
      <w:tblPr/>
      <w:tcPr>
        <w:shd w:val="clear" w:color="auto" w:fill="EADFED"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AEF" w:themeFill="accent6" w:themeFillTint="19"/>
    </w:tcPr>
    <w:tblStylePr w:type="firstRow">
      <w:rPr>
        <w:b/>
        <w:bCs/>
        <w:color w:val="FFFFFF" w:themeColor="background1"/>
      </w:rPr>
      <w:tblPr/>
      <w:tcPr>
        <w:tcBorders>
          <w:bottom w:val="single" w:color="FFFFFF" w:themeColor="background1" w:sz="12" w:space="0"/>
        </w:tcBorders>
        <w:shd w:val="clear" w:color="auto" w:fill="7C4C8A" w:themeFill="accent5" w:themeFillShade="CC"/>
      </w:tcPr>
    </w:tblStylePr>
    <w:tblStylePr w:type="lastRow">
      <w:rPr>
        <w:b/>
        <w:bCs/>
        <w:color w:val="7C4C8A" w:themeColor="accent5" w:themeShade="CC"/>
      </w:rPr>
      <w:tblPr/>
      <w:tcPr>
        <w:tcBorders>
          <w:top w:val="single" w:color="231F2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3D8" w:themeFill="accent6" w:themeFillTint="3F"/>
      </w:tcPr>
    </w:tblStylePr>
    <w:tblStylePr w:type="band1Horz">
      <w:tblPr/>
      <w:tcPr>
        <w:shd w:val="clear" w:color="auto" w:fill="FFF5DF"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color="003263" w:themeColor="accent2" w:sz="24" w:space="0"/>
        <w:left w:val="single" w:color="231F20" w:themeColor="text1" w:sz="4" w:space="0"/>
        <w:bottom w:val="single" w:color="231F20" w:themeColor="text1" w:sz="4" w:space="0"/>
        <w:right w:val="single" w:color="231F20" w:themeColor="text1" w:sz="4" w:space="0"/>
        <w:insideH w:val="single" w:color="FFFFFF" w:themeColor="background1" w:sz="4" w:space="0"/>
        <w:insideV w:val="single" w:color="FFFFFF" w:themeColor="background1" w:sz="4" w:space="0"/>
      </w:tblBorders>
    </w:tblPr>
    <w:tcPr>
      <w:shd w:val="clear" w:color="auto" w:fill="EAE7E8" w:themeFill="text1" w:themeFillTint="19"/>
    </w:tcPr>
    <w:tblStylePr w:type="firstRow">
      <w:rPr>
        <w:b/>
        <w:bCs/>
      </w:rPr>
      <w:tblPr/>
      <w:tcPr>
        <w:tcBorders>
          <w:top w:val="nil"/>
          <w:left w:val="nil"/>
          <w:bottom w:val="single" w:color="003263"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color="141213" w:themeColor="text1" w:themeShade="99" w:sz="4" w:space="0"/>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color="003263" w:themeColor="accent2" w:sz="24" w:space="0"/>
        <w:left w:val="single" w:color="8ACED7" w:themeColor="accent1" w:sz="4" w:space="0"/>
        <w:bottom w:val="single" w:color="8ACED7" w:themeColor="accent1" w:sz="4" w:space="0"/>
        <w:right w:val="single" w:color="8ACED7" w:themeColor="accent1" w:sz="4" w:space="0"/>
        <w:insideH w:val="single" w:color="FFFFFF" w:themeColor="background1" w:sz="4" w:space="0"/>
        <w:insideV w:val="single" w:color="FFFFFF" w:themeColor="background1" w:sz="4" w:space="0"/>
      </w:tblBorders>
    </w:tblPr>
    <w:tcPr>
      <w:shd w:val="clear" w:color="auto" w:fill="F3FAFB" w:themeFill="accent1" w:themeFillTint="19"/>
    </w:tcPr>
    <w:tblStylePr w:type="firstRow">
      <w:rPr>
        <w:b/>
        <w:bCs/>
      </w:rPr>
      <w:tblPr/>
      <w:tcPr>
        <w:tcBorders>
          <w:top w:val="nil"/>
          <w:left w:val="nil"/>
          <w:bottom w:val="single" w:color="003263"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color="36919D" w:themeColor="accent1" w:themeShade="99" w:sz="4" w:space="0"/>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numPr>
        <w:ilvl w:val="1"/>
        <w:numId w:val="1"/>
      </w:numPr>
      <w:spacing w:line="240" w:lineRule="auto"/>
    </w:pPr>
    <w:rPr>
      <w:color w:val="231F20" w:themeColor="text1"/>
    </w:rPr>
    <w:tblPr>
      <w:tblStyleRowBandSize w:val="1"/>
      <w:tblStyleColBandSize w:val="1"/>
      <w:tblBorders>
        <w:top w:val="single" w:color="003263" w:themeColor="accent2" w:sz="24" w:space="0"/>
        <w:left w:val="single" w:color="003263" w:themeColor="accent2" w:sz="4" w:space="0"/>
        <w:bottom w:val="single" w:color="003263" w:themeColor="accent2" w:sz="4" w:space="0"/>
        <w:right w:val="single" w:color="003263" w:themeColor="accent2" w:sz="4" w:space="0"/>
        <w:insideH w:val="single" w:color="FFFFFF" w:themeColor="background1" w:sz="4" w:space="0"/>
        <w:insideV w:val="single" w:color="FFFFFF" w:themeColor="background1" w:sz="4" w:space="0"/>
      </w:tblBorders>
    </w:tblPr>
    <w:tcPr>
      <w:shd w:val="clear" w:color="auto" w:fill="D6EAFF" w:themeFill="accent2" w:themeFillTint="19"/>
    </w:tcPr>
    <w:tblStylePr w:type="firstRow">
      <w:rPr>
        <w:b/>
        <w:bCs/>
      </w:rPr>
      <w:tblPr/>
      <w:tcPr>
        <w:tcBorders>
          <w:top w:val="nil"/>
          <w:left w:val="nil"/>
          <w:bottom w:val="single" w:color="003263"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1D3B" w:themeFill="accent2" w:themeFillShade="99"/>
      </w:tcPr>
    </w:tblStylePr>
    <w:tblStylePr w:type="firstCol">
      <w:rPr>
        <w:color w:val="FFFFFF" w:themeColor="background1"/>
      </w:rPr>
      <w:tblPr/>
      <w:tcPr>
        <w:tcBorders>
          <w:top w:val="nil"/>
          <w:left w:val="nil"/>
          <w:bottom w:val="nil"/>
          <w:right w:val="nil"/>
          <w:insideH w:val="single" w:color="001D3B" w:themeColor="accent2" w:themeShade="99" w:sz="4" w:space="0"/>
          <w:insideV w:val="nil"/>
        </w:tcBorders>
        <w:shd w:val="clear" w:color="auto" w:fill="001D3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D3B" w:themeFill="accent2" w:themeFillShade="99"/>
      </w:tcPr>
    </w:tblStylePr>
    <w:tblStylePr w:type="band1Vert">
      <w:tblPr/>
      <w:tcPr>
        <w:shd w:val="clear" w:color="auto" w:fill="5AACFF" w:themeFill="accent2" w:themeFillTint="66"/>
      </w:tcPr>
    </w:tblStylePr>
    <w:tblStylePr w:type="band1Horz">
      <w:tblPr/>
      <w:tcPr>
        <w:shd w:val="clear" w:color="auto" w:fill="3298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numPr>
        <w:ilvl w:val="2"/>
        <w:numId w:val="1"/>
      </w:numPr>
      <w:spacing w:line="240" w:lineRule="auto"/>
    </w:pPr>
    <w:rPr>
      <w:color w:val="231F20" w:themeColor="text1"/>
    </w:rPr>
    <w:tblPr>
      <w:tblStyleRowBandSize w:val="1"/>
      <w:tblStyleColBandSize w:val="1"/>
      <w:tblBorders>
        <w:top w:val="single" w:color="50BFA2" w:themeColor="accent4" w:sz="24" w:space="0"/>
        <w:left w:val="single" w:color="F04E2D" w:themeColor="accent3" w:sz="4" w:space="0"/>
        <w:bottom w:val="single" w:color="F04E2D" w:themeColor="accent3" w:sz="4" w:space="0"/>
        <w:right w:val="single" w:color="F04E2D" w:themeColor="accent3" w:sz="4" w:space="0"/>
        <w:insideH w:val="single" w:color="FFFFFF" w:themeColor="background1" w:sz="4" w:space="0"/>
        <w:insideV w:val="single" w:color="FFFFFF" w:themeColor="background1" w:sz="4" w:space="0"/>
      </w:tblBorders>
    </w:tblPr>
    <w:tcPr>
      <w:shd w:val="clear" w:color="auto" w:fill="FDEDEA" w:themeFill="accent3" w:themeFillTint="19"/>
    </w:tcPr>
    <w:tblStylePr w:type="firstRow">
      <w:rPr>
        <w:b/>
        <w:bCs/>
      </w:rPr>
      <w:tblPr/>
      <w:tcPr>
        <w:tcBorders>
          <w:top w:val="nil"/>
          <w:left w:val="nil"/>
          <w:bottom w:val="single" w:color="50BF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9F240B" w:themeFill="accent3" w:themeFillShade="99"/>
      </w:tcPr>
    </w:tblStylePr>
    <w:tblStylePr w:type="firstCol">
      <w:rPr>
        <w:color w:val="FFFFFF" w:themeColor="background1"/>
      </w:rPr>
      <w:tblPr/>
      <w:tcPr>
        <w:tcBorders>
          <w:top w:val="nil"/>
          <w:left w:val="nil"/>
          <w:bottom w:val="nil"/>
          <w:right w:val="nil"/>
          <w:insideH w:val="single" w:color="9F240B" w:themeColor="accent3" w:themeShade="99" w:sz="4" w:space="0"/>
          <w:insideV w:val="nil"/>
        </w:tcBorders>
        <w:shd w:val="clear" w:color="auto" w:fill="9F24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240B" w:themeFill="accent3" w:themeFillShade="99"/>
      </w:tcPr>
    </w:tblStylePr>
    <w:tblStylePr w:type="band1Vert">
      <w:tblPr/>
      <w:tcPr>
        <w:shd w:val="clear" w:color="auto" w:fill="F9B8AB" w:themeFill="accent3" w:themeFillTint="66"/>
      </w:tcPr>
    </w:tblStylePr>
    <w:tblStylePr w:type="band1Horz">
      <w:tblPr/>
      <w:tcPr>
        <w:shd w:val="clear" w:color="auto" w:fill="F7A696"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color="F04E2D" w:themeColor="accent3" w:sz="24" w:space="0"/>
        <w:left w:val="single" w:color="50BFA2" w:themeColor="accent4" w:sz="4" w:space="0"/>
        <w:bottom w:val="single" w:color="50BFA2" w:themeColor="accent4" w:sz="4" w:space="0"/>
        <w:right w:val="single" w:color="50BFA2" w:themeColor="accent4" w:sz="4" w:space="0"/>
        <w:insideH w:val="single" w:color="FFFFFF" w:themeColor="background1" w:sz="4" w:space="0"/>
        <w:insideV w:val="single" w:color="FFFFFF" w:themeColor="background1" w:sz="4" w:space="0"/>
      </w:tblBorders>
    </w:tblPr>
    <w:tcPr>
      <w:shd w:val="clear" w:color="auto" w:fill="EDF8F5" w:themeFill="accent4" w:themeFillTint="19"/>
    </w:tcPr>
    <w:tblStylePr w:type="firstRow">
      <w:rPr>
        <w:b/>
        <w:bCs/>
      </w:rPr>
      <w:tblPr/>
      <w:tcPr>
        <w:tcBorders>
          <w:top w:val="nil"/>
          <w:left w:val="nil"/>
          <w:bottom w:val="single" w:color="F04E2D"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B7662" w:themeFill="accent4" w:themeFillShade="99"/>
      </w:tcPr>
    </w:tblStylePr>
    <w:tblStylePr w:type="firstCol">
      <w:rPr>
        <w:color w:val="FFFFFF" w:themeColor="background1"/>
      </w:rPr>
      <w:tblPr/>
      <w:tcPr>
        <w:tcBorders>
          <w:top w:val="nil"/>
          <w:left w:val="nil"/>
          <w:bottom w:val="nil"/>
          <w:right w:val="nil"/>
          <w:insideH w:val="single" w:color="2B7662" w:themeColor="accent4" w:themeShade="99" w:sz="4" w:space="0"/>
          <w:insideV w:val="nil"/>
        </w:tcBorders>
        <w:shd w:val="clear" w:color="auto" w:fill="2B76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B7662" w:themeFill="accent4" w:themeFillShade="99"/>
      </w:tcPr>
    </w:tblStylePr>
    <w:tblStylePr w:type="band1Vert">
      <w:tblPr/>
      <w:tcPr>
        <w:shd w:val="clear" w:color="auto" w:fill="B8E5D9" w:themeFill="accent4" w:themeFillTint="66"/>
      </w:tcPr>
    </w:tblStylePr>
    <w:tblStylePr w:type="band1Horz">
      <w:tblPr/>
      <w:tcPr>
        <w:shd w:val="clear" w:color="auto" w:fill="A7DFD0"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color="FFCF62" w:themeColor="accent6" w:sz="24" w:space="0"/>
        <w:left w:val="single" w:color="9A64A9" w:themeColor="accent5" w:sz="4" w:space="0"/>
        <w:bottom w:val="single" w:color="9A64A9" w:themeColor="accent5" w:sz="4" w:space="0"/>
        <w:right w:val="single" w:color="9A64A9" w:themeColor="accent5" w:sz="4" w:space="0"/>
        <w:insideH w:val="single" w:color="FFFFFF" w:themeColor="background1" w:sz="4" w:space="0"/>
        <w:insideV w:val="single" w:color="FFFFFF" w:themeColor="background1" w:sz="4" w:space="0"/>
      </w:tblBorders>
    </w:tblPr>
    <w:tcPr>
      <w:shd w:val="clear" w:color="auto" w:fill="F5EFF6" w:themeFill="accent5" w:themeFillTint="19"/>
    </w:tcPr>
    <w:tblStylePr w:type="firstRow">
      <w:rPr>
        <w:b/>
        <w:bCs/>
      </w:rPr>
      <w:tblPr/>
      <w:tcPr>
        <w:tcBorders>
          <w:top w:val="nil"/>
          <w:left w:val="nil"/>
          <w:bottom w:val="single" w:color="FFCF62"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D3967" w:themeFill="accent5" w:themeFillShade="99"/>
      </w:tcPr>
    </w:tblStylePr>
    <w:tblStylePr w:type="firstCol">
      <w:rPr>
        <w:color w:val="FFFFFF" w:themeColor="background1"/>
      </w:rPr>
      <w:tblPr/>
      <w:tcPr>
        <w:tcBorders>
          <w:top w:val="nil"/>
          <w:left w:val="nil"/>
          <w:bottom w:val="nil"/>
          <w:right w:val="nil"/>
          <w:insideH w:val="single" w:color="5D3967" w:themeColor="accent5" w:themeShade="99" w:sz="4" w:space="0"/>
          <w:insideV w:val="nil"/>
        </w:tcBorders>
        <w:shd w:val="clear" w:color="auto" w:fill="5D39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3967" w:themeFill="accent5" w:themeFillShade="99"/>
      </w:tcPr>
    </w:tblStylePr>
    <w:tblStylePr w:type="band1Vert">
      <w:tblPr/>
      <w:tcPr>
        <w:shd w:val="clear" w:color="auto" w:fill="D6C0DC" w:themeFill="accent5" w:themeFillTint="66"/>
      </w:tcPr>
    </w:tblStylePr>
    <w:tblStylePr w:type="band1Horz">
      <w:tblPr/>
      <w:tcPr>
        <w:shd w:val="clear" w:color="auto" w:fill="CCB1D4"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color="9A64A9" w:themeColor="accent5" w:sz="24" w:space="0"/>
        <w:left w:val="single" w:color="FFCF62" w:themeColor="accent6" w:sz="4" w:space="0"/>
        <w:bottom w:val="single" w:color="FFCF62" w:themeColor="accent6" w:sz="4" w:space="0"/>
        <w:right w:val="single" w:color="FFCF62" w:themeColor="accent6" w:sz="4" w:space="0"/>
        <w:insideH w:val="single" w:color="FFFFFF" w:themeColor="background1" w:sz="4" w:space="0"/>
        <w:insideV w:val="single" w:color="FFFFFF" w:themeColor="background1" w:sz="4" w:space="0"/>
      </w:tblBorders>
    </w:tblPr>
    <w:tcPr>
      <w:shd w:val="clear" w:color="auto" w:fill="FFFAEF" w:themeFill="accent6" w:themeFillTint="19"/>
    </w:tcPr>
    <w:tblStylePr w:type="firstRow">
      <w:rPr>
        <w:b/>
        <w:bCs/>
      </w:rPr>
      <w:tblPr/>
      <w:tcPr>
        <w:tcBorders>
          <w:top w:val="nil"/>
          <w:left w:val="nil"/>
          <w:bottom w:val="single" w:color="9A64A9"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D39200" w:themeFill="accent6" w:themeFillShade="99"/>
      </w:tcPr>
    </w:tblStylePr>
    <w:tblStylePr w:type="firstCol">
      <w:rPr>
        <w:color w:val="FFFFFF" w:themeColor="background1"/>
      </w:rPr>
      <w:tblPr/>
      <w:tcPr>
        <w:tcBorders>
          <w:top w:val="nil"/>
          <w:left w:val="nil"/>
          <w:bottom w:val="nil"/>
          <w:right w:val="nil"/>
          <w:insideH w:val="single" w:color="D39200" w:themeColor="accent6" w:themeShade="99" w:sz="4" w:space="0"/>
          <w:insideV w:val="nil"/>
        </w:tcBorders>
        <w:shd w:val="clear" w:color="auto" w:fill="D392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D39200" w:themeFill="accent6" w:themeFillShade="99"/>
      </w:tcPr>
    </w:tblStylePr>
    <w:tblStylePr w:type="band1Vert">
      <w:tblPr/>
      <w:tcPr>
        <w:shd w:val="clear" w:color="auto" w:fill="FFEBC0" w:themeFill="accent6" w:themeFillTint="66"/>
      </w:tcPr>
    </w:tblStylePr>
    <w:tblStylePr w:type="band1Horz">
      <w:tblPr/>
      <w:tcPr>
        <w:shd w:val="clear" w:color="auto" w:fill="FFE7B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color="FFFFFF" w:themeColor="background1" w:sz="18" w:space="0"/>
          <w:right w:val="nil"/>
          <w:insideH w:val="nil"/>
          <w:insideV w:val="nil"/>
        </w:tcBorders>
        <w:shd w:val="clear" w:color="auto" w:fill="231F20" w:themeFill="text1"/>
      </w:tcPr>
    </w:tblStylePr>
    <w:tblStylePr w:type="lastRow">
      <w:tblPr/>
      <w:tcPr>
        <w:tcBorders>
          <w:top w:val="single" w:color="FFFFFF" w:themeColor="background1" w:sz="18" w:space="0"/>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1A1717"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231F20" w:themeFill="text1"/>
      </w:tcPr>
    </w:tblStylePr>
    <w:tblStylePr w:type="lastRow">
      <w:tblPr/>
      <w:tcPr>
        <w:tcBorders>
          <w:top w:val="single" w:color="FFFFFF" w:themeColor="background1" w:sz="18" w:space="0"/>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47B2C0"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003263"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231F20" w:themeFill="text1"/>
      </w:tcPr>
    </w:tblStylePr>
    <w:tblStylePr w:type="lastRow">
      <w:tblPr/>
      <w:tcPr>
        <w:tcBorders>
          <w:top w:val="single" w:color="FFFFFF" w:themeColor="background1" w:sz="18" w:space="0"/>
          <w:left w:val="nil"/>
          <w:bottom w:val="nil"/>
          <w:right w:val="nil"/>
          <w:insideH w:val="nil"/>
          <w:insideV w:val="nil"/>
        </w:tcBorders>
        <w:shd w:val="clear" w:color="auto" w:fill="001831"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00254A"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00254A" w:themeFill="accent2" w:themeFillShade="BF"/>
      </w:tcPr>
    </w:tblStylePr>
    <w:tblStylePr w:type="band1Vert">
      <w:tblPr/>
      <w:tcPr>
        <w:tcBorders>
          <w:top w:val="nil"/>
          <w:left w:val="nil"/>
          <w:bottom w:val="nil"/>
          <w:right w:val="nil"/>
          <w:insideH w:val="nil"/>
          <w:insideV w:val="nil"/>
        </w:tcBorders>
        <w:shd w:val="clear" w:color="auto" w:fill="00254A" w:themeFill="accent2" w:themeFillShade="BF"/>
      </w:tcPr>
    </w:tblStylePr>
    <w:tblStylePr w:type="band1Horz">
      <w:tblPr/>
      <w:tcPr>
        <w:tcBorders>
          <w:top w:val="nil"/>
          <w:left w:val="nil"/>
          <w:bottom w:val="nil"/>
          <w:right w:val="nil"/>
          <w:insideH w:val="nil"/>
          <w:insideV w:val="nil"/>
        </w:tcBorders>
        <w:shd w:val="clear" w:color="auto" w:fill="00254A"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F04E2D"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231F20" w:themeFill="text1"/>
      </w:tcPr>
    </w:tblStylePr>
    <w:tblStylePr w:type="lastRow">
      <w:tblPr/>
      <w:tcPr>
        <w:tcBorders>
          <w:top w:val="single" w:color="FFFFFF" w:themeColor="background1" w:sz="18" w:space="0"/>
          <w:left w:val="nil"/>
          <w:bottom w:val="nil"/>
          <w:right w:val="nil"/>
          <w:insideH w:val="nil"/>
          <w:insideV w:val="nil"/>
        </w:tcBorders>
        <w:shd w:val="clear" w:color="auto" w:fill="841E09"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C72D0E"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C72D0E" w:themeFill="accent3" w:themeFillShade="BF"/>
      </w:tcPr>
    </w:tblStylePr>
    <w:tblStylePr w:type="band1Vert">
      <w:tblPr/>
      <w:tcPr>
        <w:tcBorders>
          <w:top w:val="nil"/>
          <w:left w:val="nil"/>
          <w:bottom w:val="nil"/>
          <w:right w:val="nil"/>
          <w:insideH w:val="nil"/>
          <w:insideV w:val="nil"/>
        </w:tcBorders>
        <w:shd w:val="clear" w:color="auto" w:fill="C72D0E" w:themeFill="accent3" w:themeFillShade="BF"/>
      </w:tcPr>
    </w:tblStylePr>
    <w:tblStylePr w:type="band1Horz">
      <w:tblPr/>
      <w:tcPr>
        <w:tcBorders>
          <w:top w:val="nil"/>
          <w:left w:val="nil"/>
          <w:bottom w:val="nil"/>
          <w:right w:val="nil"/>
          <w:insideH w:val="nil"/>
          <w:insideV w:val="nil"/>
        </w:tcBorders>
        <w:shd w:val="clear" w:color="auto" w:fill="C72D0E"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50BF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231F20" w:themeFill="text1"/>
      </w:tcPr>
    </w:tblStylePr>
    <w:tblStylePr w:type="lastRow">
      <w:tblPr/>
      <w:tcPr>
        <w:tcBorders>
          <w:top w:val="single" w:color="FFFFFF" w:themeColor="background1" w:sz="18" w:space="0"/>
          <w:left w:val="nil"/>
          <w:bottom w:val="nil"/>
          <w:right w:val="nil"/>
          <w:insideH w:val="nil"/>
          <w:insideV w:val="nil"/>
        </w:tcBorders>
        <w:shd w:val="clear" w:color="auto" w:fill="246252"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36947B"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36947B" w:themeFill="accent4" w:themeFillShade="BF"/>
      </w:tcPr>
    </w:tblStylePr>
    <w:tblStylePr w:type="band1Vert">
      <w:tblPr/>
      <w:tcPr>
        <w:tcBorders>
          <w:top w:val="nil"/>
          <w:left w:val="nil"/>
          <w:bottom w:val="nil"/>
          <w:right w:val="nil"/>
          <w:insideH w:val="nil"/>
          <w:insideV w:val="nil"/>
        </w:tcBorders>
        <w:shd w:val="clear" w:color="auto" w:fill="36947B" w:themeFill="accent4" w:themeFillShade="BF"/>
      </w:tcPr>
    </w:tblStylePr>
    <w:tblStylePr w:type="band1Horz">
      <w:tblPr/>
      <w:tcPr>
        <w:tcBorders>
          <w:top w:val="nil"/>
          <w:left w:val="nil"/>
          <w:bottom w:val="nil"/>
          <w:right w:val="nil"/>
          <w:insideH w:val="nil"/>
          <w:insideV w:val="nil"/>
        </w:tcBorders>
        <w:shd w:val="clear" w:color="auto" w:fill="36947B"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9A64A9"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231F20" w:themeFill="text1"/>
      </w:tcPr>
    </w:tblStylePr>
    <w:tblStylePr w:type="lastRow">
      <w:tblPr/>
      <w:tcPr>
        <w:tcBorders>
          <w:top w:val="single" w:color="FFFFFF" w:themeColor="background1" w:sz="18" w:space="0"/>
          <w:left w:val="nil"/>
          <w:bottom w:val="nil"/>
          <w:right w:val="nil"/>
          <w:insideH w:val="nil"/>
          <w:insideV w:val="nil"/>
        </w:tcBorders>
        <w:shd w:val="clear" w:color="auto" w:fill="4D2F55"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744881"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744881" w:themeFill="accent5" w:themeFillShade="BF"/>
      </w:tcPr>
    </w:tblStylePr>
    <w:tblStylePr w:type="band1Vert">
      <w:tblPr/>
      <w:tcPr>
        <w:tcBorders>
          <w:top w:val="nil"/>
          <w:left w:val="nil"/>
          <w:bottom w:val="nil"/>
          <w:right w:val="nil"/>
          <w:insideH w:val="nil"/>
          <w:insideV w:val="nil"/>
        </w:tcBorders>
        <w:shd w:val="clear" w:color="auto" w:fill="744881" w:themeFill="accent5" w:themeFillShade="BF"/>
      </w:tcPr>
    </w:tblStylePr>
    <w:tblStylePr w:type="band1Horz">
      <w:tblPr/>
      <w:tcPr>
        <w:tcBorders>
          <w:top w:val="nil"/>
          <w:left w:val="nil"/>
          <w:bottom w:val="nil"/>
          <w:right w:val="nil"/>
          <w:insideH w:val="nil"/>
          <w:insideV w:val="nil"/>
        </w:tcBorders>
        <w:shd w:val="clear" w:color="auto" w:fill="744881"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F62"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231F20" w:themeFill="text1"/>
      </w:tcPr>
    </w:tblStylePr>
    <w:tblStylePr w:type="lastRow">
      <w:tblPr/>
      <w:tcPr>
        <w:tcBorders>
          <w:top w:val="single" w:color="FFFFFF" w:themeColor="background1" w:sz="18" w:space="0"/>
          <w:left w:val="nil"/>
          <w:bottom w:val="nil"/>
          <w:right w:val="nil"/>
          <w:insideH w:val="nil"/>
          <w:insideV w:val="nil"/>
        </w:tcBorders>
        <w:shd w:val="clear" w:color="auto" w:fill="AF7900"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FFB3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FFB309" w:themeFill="accent6" w:themeFillShade="BF"/>
      </w:tcPr>
    </w:tblStylePr>
    <w:tblStylePr w:type="band1Vert">
      <w:tblPr/>
      <w:tcPr>
        <w:tcBorders>
          <w:top w:val="nil"/>
          <w:left w:val="nil"/>
          <w:bottom w:val="nil"/>
          <w:right w:val="nil"/>
          <w:insideH w:val="nil"/>
          <w:insideV w:val="nil"/>
        </w:tcBorders>
        <w:shd w:val="clear" w:color="auto" w:fill="FFB309" w:themeFill="accent6" w:themeFillShade="BF"/>
      </w:tcPr>
    </w:tblStylePr>
    <w:tblStylePr w:type="band1Horz">
      <w:tblPr/>
      <w:tcPr>
        <w:tcBorders>
          <w:top w:val="nil"/>
          <w:left w:val="nil"/>
          <w:bottom w:val="nil"/>
          <w:right w:val="nil"/>
          <w:insideH w:val="nil"/>
          <w:insideV w:val="nil"/>
        </w:tcBorders>
        <w:shd w:val="clear" w:color="auto" w:fill="FFB309" w:themeFill="accent6" w:themeFillShade="BF"/>
      </w:tcPr>
    </w:tblStylePr>
  </w:style>
  <w:style w:type="table" w:styleId="GridTable1Light">
    <w:name w:val="Grid Table 1 Light"/>
    <w:basedOn w:val="TableNormal"/>
    <w:uiPriority w:val="46"/>
    <w:rsid w:val="00B60586"/>
    <w:pPr>
      <w:spacing w:line="240" w:lineRule="auto"/>
    </w:pPr>
    <w:tblPr>
      <w:tblStyleRowBandSize w:val="1"/>
      <w:tblStyleColBandSize w:val="1"/>
      <w:tblBorders>
        <w:top w:val="single" w:color="ABA0A3" w:themeColor="text1" w:themeTint="66" w:sz="4" w:space="0"/>
        <w:left w:val="single" w:color="ABA0A3" w:themeColor="text1" w:themeTint="66" w:sz="4" w:space="0"/>
        <w:bottom w:val="single" w:color="ABA0A3" w:themeColor="text1" w:themeTint="66" w:sz="4" w:space="0"/>
        <w:right w:val="single" w:color="ABA0A3" w:themeColor="text1" w:themeTint="66" w:sz="4" w:space="0"/>
        <w:insideH w:val="single" w:color="ABA0A3" w:themeColor="text1" w:themeTint="66" w:sz="4" w:space="0"/>
        <w:insideV w:val="single" w:color="ABA0A3" w:themeColor="text1" w:themeTint="66" w:sz="4" w:space="0"/>
      </w:tblBorders>
    </w:tblPr>
    <w:tblStylePr w:type="firstRow">
      <w:rPr>
        <w:b/>
        <w:bCs/>
      </w:rPr>
      <w:tblPr/>
      <w:tcPr>
        <w:tcBorders>
          <w:bottom w:val="single" w:color="807276" w:themeColor="text1" w:themeTint="99" w:sz="12" w:space="0"/>
        </w:tcBorders>
      </w:tcPr>
    </w:tblStylePr>
    <w:tblStylePr w:type="lastRow">
      <w:rPr>
        <w:b/>
        <w:bCs/>
      </w:rPr>
      <w:tblPr/>
      <w:tcPr>
        <w:tcBorders>
          <w:top w:val="double" w:color="807276" w:themeColor="text1" w:themeTint="99" w:sz="2" w:space="0"/>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60586"/>
    <w:pPr>
      <w:spacing w:line="240" w:lineRule="auto"/>
    </w:pPr>
    <w:tblPr>
      <w:tblStyleRowBandSize w:val="1"/>
      <w:tblStyleColBandSize w:val="1"/>
      <w:tblBorders>
        <w:top w:val="single" w:color="D0EBEF" w:themeColor="accent1" w:themeTint="66" w:sz="4" w:space="0"/>
        <w:left w:val="single" w:color="D0EBEF" w:themeColor="accent1" w:themeTint="66" w:sz="4" w:space="0"/>
        <w:bottom w:val="single" w:color="D0EBEF" w:themeColor="accent1" w:themeTint="66" w:sz="4" w:space="0"/>
        <w:right w:val="single" w:color="D0EBEF" w:themeColor="accent1" w:themeTint="66" w:sz="4" w:space="0"/>
        <w:insideH w:val="single" w:color="D0EBEF" w:themeColor="accent1" w:themeTint="66" w:sz="4" w:space="0"/>
        <w:insideV w:val="single" w:color="D0EBEF" w:themeColor="accent1" w:themeTint="66" w:sz="4" w:space="0"/>
      </w:tblBorders>
    </w:tblPr>
    <w:tblStylePr w:type="firstRow">
      <w:rPr>
        <w:b/>
        <w:bCs/>
      </w:rPr>
      <w:tblPr/>
      <w:tcPr>
        <w:tcBorders>
          <w:bottom w:val="single" w:color="B8E1E7" w:themeColor="accent1" w:themeTint="99" w:sz="12" w:space="0"/>
        </w:tcBorders>
      </w:tcPr>
    </w:tblStylePr>
    <w:tblStylePr w:type="lastRow">
      <w:rPr>
        <w:b/>
        <w:bCs/>
      </w:rPr>
      <w:tblPr/>
      <w:tcPr>
        <w:tcBorders>
          <w:top w:val="double" w:color="B8E1E7" w:themeColor="accent1" w:themeTint="99" w:sz="2" w:space="0"/>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60586"/>
    <w:pPr>
      <w:spacing w:line="240" w:lineRule="auto"/>
    </w:pPr>
    <w:tblPr>
      <w:tblStyleRowBandSize w:val="1"/>
      <w:tblStyleColBandSize w:val="1"/>
      <w:tblBorders>
        <w:top w:val="single" w:color="5AACFF" w:themeColor="accent2" w:themeTint="66" w:sz="4" w:space="0"/>
        <w:left w:val="single" w:color="5AACFF" w:themeColor="accent2" w:themeTint="66" w:sz="4" w:space="0"/>
        <w:bottom w:val="single" w:color="5AACFF" w:themeColor="accent2" w:themeTint="66" w:sz="4" w:space="0"/>
        <w:right w:val="single" w:color="5AACFF" w:themeColor="accent2" w:themeTint="66" w:sz="4" w:space="0"/>
        <w:insideH w:val="single" w:color="5AACFF" w:themeColor="accent2" w:themeTint="66" w:sz="4" w:space="0"/>
        <w:insideV w:val="single" w:color="5AACFF" w:themeColor="accent2" w:themeTint="66" w:sz="4" w:space="0"/>
      </w:tblBorders>
    </w:tblPr>
    <w:tblStylePr w:type="firstRow">
      <w:rPr>
        <w:b/>
        <w:bCs/>
      </w:rPr>
      <w:tblPr/>
      <w:tcPr>
        <w:tcBorders>
          <w:bottom w:val="single" w:color="0884FF" w:themeColor="accent2" w:themeTint="99" w:sz="12" w:space="0"/>
        </w:tcBorders>
      </w:tcPr>
    </w:tblStylePr>
    <w:tblStylePr w:type="lastRow">
      <w:rPr>
        <w:b/>
        <w:bCs/>
      </w:rPr>
      <w:tblPr/>
      <w:tcPr>
        <w:tcBorders>
          <w:top w:val="double" w:color="0884FF" w:themeColor="accent2" w:themeTint="99" w:sz="2" w:space="0"/>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60586"/>
    <w:pPr>
      <w:spacing w:line="240" w:lineRule="auto"/>
    </w:pPr>
    <w:tblPr>
      <w:tblStyleRowBandSize w:val="1"/>
      <w:tblStyleColBandSize w:val="1"/>
      <w:tblBorders>
        <w:top w:val="single" w:color="F9B8AB" w:themeColor="accent3" w:themeTint="66" w:sz="4" w:space="0"/>
        <w:left w:val="single" w:color="F9B8AB" w:themeColor="accent3" w:themeTint="66" w:sz="4" w:space="0"/>
        <w:bottom w:val="single" w:color="F9B8AB" w:themeColor="accent3" w:themeTint="66" w:sz="4" w:space="0"/>
        <w:right w:val="single" w:color="F9B8AB" w:themeColor="accent3" w:themeTint="66" w:sz="4" w:space="0"/>
        <w:insideH w:val="single" w:color="F9B8AB" w:themeColor="accent3" w:themeTint="66" w:sz="4" w:space="0"/>
        <w:insideV w:val="single" w:color="F9B8AB" w:themeColor="accent3" w:themeTint="66" w:sz="4" w:space="0"/>
      </w:tblBorders>
    </w:tblPr>
    <w:tblStylePr w:type="firstRow">
      <w:rPr>
        <w:b/>
        <w:bCs/>
      </w:rPr>
      <w:tblPr/>
      <w:tcPr>
        <w:tcBorders>
          <w:bottom w:val="single" w:color="F69481" w:themeColor="accent3" w:themeTint="99" w:sz="12" w:space="0"/>
        </w:tcBorders>
      </w:tcPr>
    </w:tblStylePr>
    <w:tblStylePr w:type="lastRow">
      <w:rPr>
        <w:b/>
        <w:bCs/>
      </w:rPr>
      <w:tblPr/>
      <w:tcPr>
        <w:tcBorders>
          <w:top w:val="double" w:color="F69481" w:themeColor="accent3"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60586"/>
    <w:pPr>
      <w:spacing w:line="240" w:lineRule="auto"/>
    </w:pPr>
    <w:tblPr>
      <w:tblStyleRowBandSize w:val="1"/>
      <w:tblStyleColBandSize w:val="1"/>
      <w:tblBorders>
        <w:top w:val="single" w:color="B8E5D9" w:themeColor="accent4" w:themeTint="66" w:sz="4" w:space="0"/>
        <w:left w:val="single" w:color="B8E5D9" w:themeColor="accent4" w:themeTint="66" w:sz="4" w:space="0"/>
        <w:bottom w:val="single" w:color="B8E5D9" w:themeColor="accent4" w:themeTint="66" w:sz="4" w:space="0"/>
        <w:right w:val="single" w:color="B8E5D9" w:themeColor="accent4" w:themeTint="66" w:sz="4" w:space="0"/>
        <w:insideH w:val="single" w:color="B8E5D9" w:themeColor="accent4" w:themeTint="66" w:sz="4" w:space="0"/>
        <w:insideV w:val="single" w:color="B8E5D9" w:themeColor="accent4" w:themeTint="66" w:sz="4" w:space="0"/>
      </w:tblBorders>
    </w:tblPr>
    <w:tblStylePr w:type="firstRow">
      <w:rPr>
        <w:b/>
        <w:bCs/>
      </w:rPr>
      <w:tblPr/>
      <w:tcPr>
        <w:tcBorders>
          <w:bottom w:val="single" w:color="95D8C7" w:themeColor="accent4" w:themeTint="99" w:sz="12" w:space="0"/>
        </w:tcBorders>
      </w:tcPr>
    </w:tblStylePr>
    <w:tblStylePr w:type="lastRow">
      <w:rPr>
        <w:b/>
        <w:bCs/>
      </w:rPr>
      <w:tblPr/>
      <w:tcPr>
        <w:tcBorders>
          <w:top w:val="double" w:color="95D8C7" w:themeColor="accent4" w:themeTint="99" w:sz="2" w:space="0"/>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60586"/>
    <w:pPr>
      <w:spacing w:line="240" w:lineRule="auto"/>
    </w:pPr>
    <w:tblPr>
      <w:tblStyleRowBandSize w:val="1"/>
      <w:tblStyleColBandSize w:val="1"/>
      <w:tblBorders>
        <w:top w:val="single" w:color="D6C0DC" w:themeColor="accent5" w:themeTint="66" w:sz="4" w:space="0"/>
        <w:left w:val="single" w:color="D6C0DC" w:themeColor="accent5" w:themeTint="66" w:sz="4" w:space="0"/>
        <w:bottom w:val="single" w:color="D6C0DC" w:themeColor="accent5" w:themeTint="66" w:sz="4" w:space="0"/>
        <w:right w:val="single" w:color="D6C0DC" w:themeColor="accent5" w:themeTint="66" w:sz="4" w:space="0"/>
        <w:insideH w:val="single" w:color="D6C0DC" w:themeColor="accent5" w:themeTint="66" w:sz="4" w:space="0"/>
        <w:insideV w:val="single" w:color="D6C0DC" w:themeColor="accent5" w:themeTint="66" w:sz="4" w:space="0"/>
      </w:tblBorders>
    </w:tblPr>
    <w:tblStylePr w:type="firstRow">
      <w:rPr>
        <w:b/>
        <w:bCs/>
      </w:rPr>
      <w:tblPr/>
      <w:tcPr>
        <w:tcBorders>
          <w:bottom w:val="single" w:color="C2A1CB" w:themeColor="accent5" w:themeTint="99" w:sz="12" w:space="0"/>
        </w:tcBorders>
      </w:tcPr>
    </w:tblStylePr>
    <w:tblStylePr w:type="lastRow">
      <w:rPr>
        <w:b/>
        <w:bCs/>
      </w:rPr>
      <w:tblPr/>
      <w:tcPr>
        <w:tcBorders>
          <w:top w:val="double" w:color="C2A1CB" w:themeColor="accent5" w:themeTint="99" w:sz="2" w:space="0"/>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60586"/>
    <w:pPr>
      <w:spacing w:line="240" w:lineRule="auto"/>
    </w:pPr>
    <w:tblPr>
      <w:tblStyleRowBandSize w:val="1"/>
      <w:tblStyleColBandSize w:val="1"/>
      <w:tblBorders>
        <w:top w:val="single" w:color="FFEBC0" w:themeColor="accent6" w:themeTint="66" w:sz="4" w:space="0"/>
        <w:left w:val="single" w:color="FFEBC0" w:themeColor="accent6" w:themeTint="66" w:sz="4" w:space="0"/>
        <w:bottom w:val="single" w:color="FFEBC0" w:themeColor="accent6" w:themeTint="66" w:sz="4" w:space="0"/>
        <w:right w:val="single" w:color="FFEBC0" w:themeColor="accent6" w:themeTint="66" w:sz="4" w:space="0"/>
        <w:insideH w:val="single" w:color="FFEBC0" w:themeColor="accent6" w:themeTint="66" w:sz="4" w:space="0"/>
        <w:insideV w:val="single" w:color="FFEBC0" w:themeColor="accent6" w:themeTint="66" w:sz="4" w:space="0"/>
      </w:tblBorders>
    </w:tblPr>
    <w:tblStylePr w:type="firstRow">
      <w:rPr>
        <w:b/>
        <w:bCs/>
      </w:rPr>
      <w:tblPr/>
      <w:tcPr>
        <w:tcBorders>
          <w:bottom w:val="single" w:color="FFE2A0" w:themeColor="accent6" w:themeTint="99" w:sz="12" w:space="0"/>
        </w:tcBorders>
      </w:tcPr>
    </w:tblStylePr>
    <w:tblStylePr w:type="lastRow">
      <w:rPr>
        <w:b/>
        <w:bCs/>
      </w:rPr>
      <w:tblPr/>
      <w:tcPr>
        <w:tcBorders>
          <w:top w:val="double" w:color="FFE2A0" w:themeColor="accent6" w:themeTint="99" w:sz="2" w:space="0"/>
        </w:tcBorders>
      </w:tcPr>
    </w:tblStylePr>
    <w:tblStylePr w:type="firstCol">
      <w:rPr>
        <w:b/>
        <w:bCs/>
      </w:rPr>
    </w:tblStylePr>
    <w:tblStylePr w:type="lastCol">
      <w:rPr>
        <w:b/>
        <w:bCs/>
      </w:rPr>
    </w:tblStylePr>
  </w:style>
  <w:style w:type="table" w:styleId="GridTable2">
    <w:name w:val="Grid Table 2"/>
    <w:basedOn w:val="TableNormal"/>
    <w:uiPriority w:val="47"/>
    <w:rsid w:val="00B60586"/>
    <w:pPr>
      <w:spacing w:line="240" w:lineRule="auto"/>
    </w:pPr>
    <w:tblPr>
      <w:tblStyleRowBandSize w:val="1"/>
      <w:tblStyleColBandSize w:val="1"/>
      <w:tblBorders>
        <w:top w:val="single" w:color="807276" w:themeColor="text1" w:themeTint="99" w:sz="2" w:space="0"/>
        <w:bottom w:val="single" w:color="807276" w:themeColor="text1" w:themeTint="99" w:sz="2" w:space="0"/>
        <w:insideH w:val="single" w:color="807276" w:themeColor="text1" w:themeTint="99" w:sz="2" w:space="0"/>
        <w:insideV w:val="single" w:color="807276" w:themeColor="text1" w:themeTint="99" w:sz="2" w:space="0"/>
      </w:tblBorders>
    </w:tblPr>
    <w:tblStylePr w:type="firstRow">
      <w:rPr>
        <w:b/>
        <w:bCs/>
      </w:rPr>
      <w:tblPr/>
      <w:tcPr>
        <w:tcBorders>
          <w:top w:val="nil"/>
          <w:bottom w:val="single" w:color="807276" w:themeColor="text1" w:themeTint="99" w:sz="12" w:space="0"/>
          <w:insideH w:val="nil"/>
          <w:insideV w:val="nil"/>
        </w:tcBorders>
        <w:shd w:val="clear" w:color="auto" w:fill="FFFFFF" w:themeFill="background1"/>
      </w:tcPr>
    </w:tblStylePr>
    <w:tblStylePr w:type="lastRow">
      <w:rPr>
        <w:b/>
        <w:bCs/>
      </w:rPr>
      <w:tblPr/>
      <w:tcPr>
        <w:tcBorders>
          <w:top w:val="double" w:color="80727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rsid w:val="00B60586"/>
    <w:pPr>
      <w:spacing w:line="240" w:lineRule="auto"/>
    </w:pPr>
    <w:tblPr>
      <w:tblStyleRowBandSize w:val="1"/>
      <w:tblStyleColBandSize w:val="1"/>
      <w:tblBorders>
        <w:top w:val="single" w:color="B8E1E7" w:themeColor="accent1" w:themeTint="99" w:sz="2" w:space="0"/>
        <w:bottom w:val="single" w:color="B8E1E7" w:themeColor="accent1" w:themeTint="99" w:sz="2" w:space="0"/>
        <w:insideH w:val="single" w:color="B8E1E7" w:themeColor="accent1" w:themeTint="99" w:sz="2" w:space="0"/>
        <w:insideV w:val="single" w:color="B8E1E7" w:themeColor="accent1" w:themeTint="99" w:sz="2" w:space="0"/>
      </w:tblBorders>
    </w:tblPr>
    <w:tblStylePr w:type="firstRow">
      <w:rPr>
        <w:b/>
        <w:bCs/>
      </w:rPr>
      <w:tblPr/>
      <w:tcPr>
        <w:tcBorders>
          <w:top w:val="nil"/>
          <w:bottom w:val="single" w:color="B8E1E7" w:themeColor="accent1" w:themeTint="99" w:sz="12" w:space="0"/>
          <w:insideH w:val="nil"/>
          <w:insideV w:val="nil"/>
        </w:tcBorders>
        <w:shd w:val="clear" w:color="auto" w:fill="FFFFFF" w:themeFill="background1"/>
      </w:tcPr>
    </w:tblStylePr>
    <w:tblStylePr w:type="lastRow">
      <w:rPr>
        <w:b/>
        <w:bCs/>
      </w:rPr>
      <w:tblPr/>
      <w:tcPr>
        <w:tcBorders>
          <w:top w:val="double" w:color="B8E1E7"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rsid w:val="00B60586"/>
    <w:pPr>
      <w:spacing w:line="240" w:lineRule="auto"/>
    </w:pPr>
    <w:tblPr>
      <w:tblStyleRowBandSize w:val="1"/>
      <w:tblStyleColBandSize w:val="1"/>
      <w:tblBorders>
        <w:top w:val="single" w:color="0884FF" w:themeColor="accent2" w:themeTint="99" w:sz="2" w:space="0"/>
        <w:bottom w:val="single" w:color="0884FF" w:themeColor="accent2" w:themeTint="99" w:sz="2" w:space="0"/>
        <w:insideH w:val="single" w:color="0884FF" w:themeColor="accent2" w:themeTint="99" w:sz="2" w:space="0"/>
        <w:insideV w:val="single" w:color="0884FF" w:themeColor="accent2" w:themeTint="99" w:sz="2" w:space="0"/>
      </w:tblBorders>
    </w:tblPr>
    <w:tblStylePr w:type="firstRow">
      <w:rPr>
        <w:b/>
        <w:bCs/>
      </w:rPr>
      <w:tblPr/>
      <w:tcPr>
        <w:tcBorders>
          <w:top w:val="nil"/>
          <w:bottom w:val="single" w:color="0884FF" w:themeColor="accent2" w:themeTint="99" w:sz="12" w:space="0"/>
          <w:insideH w:val="nil"/>
          <w:insideV w:val="nil"/>
        </w:tcBorders>
        <w:shd w:val="clear" w:color="auto" w:fill="FFFFFF" w:themeFill="background1"/>
      </w:tcPr>
    </w:tblStylePr>
    <w:tblStylePr w:type="lastRow">
      <w:rPr>
        <w:b/>
        <w:bCs/>
      </w:rPr>
      <w:tblPr/>
      <w:tcPr>
        <w:tcBorders>
          <w:top w:val="double" w:color="0884FF"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2-Accent3">
    <w:name w:val="Grid Table 2 Accent 3"/>
    <w:basedOn w:val="TableNormal"/>
    <w:uiPriority w:val="47"/>
    <w:rsid w:val="00B60586"/>
    <w:pPr>
      <w:spacing w:line="240" w:lineRule="auto"/>
    </w:pPr>
    <w:tblPr>
      <w:tblStyleRowBandSize w:val="1"/>
      <w:tblStyleColBandSize w:val="1"/>
      <w:tblBorders>
        <w:top w:val="single" w:color="F69481" w:themeColor="accent3" w:themeTint="99" w:sz="2" w:space="0"/>
        <w:bottom w:val="single" w:color="F69481" w:themeColor="accent3" w:themeTint="99" w:sz="2" w:space="0"/>
        <w:insideH w:val="single" w:color="F69481" w:themeColor="accent3" w:themeTint="99" w:sz="2" w:space="0"/>
        <w:insideV w:val="single" w:color="F69481" w:themeColor="accent3" w:themeTint="99" w:sz="2" w:space="0"/>
      </w:tblBorders>
    </w:tblPr>
    <w:tblStylePr w:type="firstRow">
      <w:rPr>
        <w:b/>
        <w:bCs/>
      </w:rPr>
      <w:tblPr/>
      <w:tcPr>
        <w:tcBorders>
          <w:top w:val="nil"/>
          <w:bottom w:val="single" w:color="F69481" w:themeColor="accent3" w:themeTint="99" w:sz="12" w:space="0"/>
          <w:insideH w:val="nil"/>
          <w:insideV w:val="nil"/>
        </w:tcBorders>
        <w:shd w:val="clear" w:color="auto" w:fill="FFFFFF" w:themeFill="background1"/>
      </w:tcPr>
    </w:tblStylePr>
    <w:tblStylePr w:type="lastRow">
      <w:rPr>
        <w:b/>
        <w:bCs/>
      </w:rPr>
      <w:tblPr/>
      <w:tcPr>
        <w:tcBorders>
          <w:top w:val="double" w:color="F69481"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2-Accent4">
    <w:name w:val="Grid Table 2 Accent 4"/>
    <w:basedOn w:val="TableNormal"/>
    <w:uiPriority w:val="47"/>
    <w:rsid w:val="00B60586"/>
    <w:pPr>
      <w:spacing w:line="240" w:lineRule="auto"/>
    </w:pPr>
    <w:tblPr>
      <w:tblStyleRowBandSize w:val="1"/>
      <w:tblStyleColBandSize w:val="1"/>
      <w:tblBorders>
        <w:top w:val="single" w:color="95D8C7" w:themeColor="accent4" w:themeTint="99" w:sz="2" w:space="0"/>
        <w:bottom w:val="single" w:color="95D8C7" w:themeColor="accent4" w:themeTint="99" w:sz="2" w:space="0"/>
        <w:insideH w:val="single" w:color="95D8C7" w:themeColor="accent4" w:themeTint="99" w:sz="2" w:space="0"/>
        <w:insideV w:val="single" w:color="95D8C7" w:themeColor="accent4" w:themeTint="99" w:sz="2" w:space="0"/>
      </w:tblBorders>
    </w:tblPr>
    <w:tblStylePr w:type="firstRow">
      <w:rPr>
        <w:b/>
        <w:bCs/>
      </w:rPr>
      <w:tblPr/>
      <w:tcPr>
        <w:tcBorders>
          <w:top w:val="nil"/>
          <w:bottom w:val="single" w:color="95D8C7" w:themeColor="accent4" w:themeTint="99" w:sz="12" w:space="0"/>
          <w:insideH w:val="nil"/>
          <w:insideV w:val="nil"/>
        </w:tcBorders>
        <w:shd w:val="clear" w:color="auto" w:fill="FFFFFF" w:themeFill="background1"/>
      </w:tcPr>
    </w:tblStylePr>
    <w:tblStylePr w:type="lastRow">
      <w:rPr>
        <w:b/>
        <w:bCs/>
      </w:rPr>
      <w:tblPr/>
      <w:tcPr>
        <w:tcBorders>
          <w:top w:val="double" w:color="95D8C7"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2-Accent5">
    <w:name w:val="Grid Table 2 Accent 5"/>
    <w:basedOn w:val="TableNormal"/>
    <w:uiPriority w:val="47"/>
    <w:rsid w:val="00B60586"/>
    <w:pPr>
      <w:spacing w:line="240" w:lineRule="auto"/>
    </w:pPr>
    <w:tblPr>
      <w:tblStyleRowBandSize w:val="1"/>
      <w:tblStyleColBandSize w:val="1"/>
      <w:tblBorders>
        <w:top w:val="single" w:color="C2A1CB" w:themeColor="accent5" w:themeTint="99" w:sz="2" w:space="0"/>
        <w:bottom w:val="single" w:color="C2A1CB" w:themeColor="accent5" w:themeTint="99" w:sz="2" w:space="0"/>
        <w:insideH w:val="single" w:color="C2A1CB" w:themeColor="accent5" w:themeTint="99" w:sz="2" w:space="0"/>
        <w:insideV w:val="single" w:color="C2A1CB" w:themeColor="accent5" w:themeTint="99" w:sz="2" w:space="0"/>
      </w:tblBorders>
    </w:tblPr>
    <w:tblStylePr w:type="firstRow">
      <w:rPr>
        <w:b/>
        <w:bCs/>
      </w:rPr>
      <w:tblPr/>
      <w:tcPr>
        <w:tcBorders>
          <w:top w:val="nil"/>
          <w:bottom w:val="single" w:color="C2A1CB" w:themeColor="accent5" w:themeTint="99" w:sz="12" w:space="0"/>
          <w:insideH w:val="nil"/>
          <w:insideV w:val="nil"/>
        </w:tcBorders>
        <w:shd w:val="clear" w:color="auto" w:fill="FFFFFF" w:themeFill="background1"/>
      </w:tcPr>
    </w:tblStylePr>
    <w:tblStylePr w:type="lastRow">
      <w:rPr>
        <w:b/>
        <w:bCs/>
      </w:rPr>
      <w:tblPr/>
      <w:tcPr>
        <w:tcBorders>
          <w:top w:val="double" w:color="C2A1C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2-Accent6">
    <w:name w:val="Grid Table 2 Accent 6"/>
    <w:basedOn w:val="TableNormal"/>
    <w:uiPriority w:val="47"/>
    <w:rsid w:val="00B60586"/>
    <w:pPr>
      <w:spacing w:line="240" w:lineRule="auto"/>
    </w:pPr>
    <w:tblPr>
      <w:tblStyleRowBandSize w:val="1"/>
      <w:tblStyleColBandSize w:val="1"/>
      <w:tblBorders>
        <w:top w:val="single" w:color="FFE2A0" w:themeColor="accent6" w:themeTint="99" w:sz="2" w:space="0"/>
        <w:bottom w:val="single" w:color="FFE2A0" w:themeColor="accent6" w:themeTint="99" w:sz="2" w:space="0"/>
        <w:insideH w:val="single" w:color="FFE2A0" w:themeColor="accent6" w:themeTint="99" w:sz="2" w:space="0"/>
        <w:insideV w:val="single" w:color="FFE2A0" w:themeColor="accent6" w:themeTint="99" w:sz="2" w:space="0"/>
      </w:tblBorders>
    </w:tblPr>
    <w:tblStylePr w:type="firstRow">
      <w:rPr>
        <w:b/>
        <w:bCs/>
      </w:rPr>
      <w:tblPr/>
      <w:tcPr>
        <w:tcBorders>
          <w:top w:val="nil"/>
          <w:bottom w:val="single" w:color="FFE2A0" w:themeColor="accent6" w:themeTint="99" w:sz="12" w:space="0"/>
          <w:insideH w:val="nil"/>
          <w:insideV w:val="nil"/>
        </w:tcBorders>
        <w:shd w:val="clear" w:color="auto" w:fill="FFFFFF" w:themeFill="background1"/>
      </w:tcPr>
    </w:tblStylePr>
    <w:tblStylePr w:type="lastRow">
      <w:rPr>
        <w:b/>
        <w:bCs/>
      </w:rPr>
      <w:tblPr/>
      <w:tcPr>
        <w:tcBorders>
          <w:top w:val="double" w:color="FFE2A0"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3">
    <w:name w:val="Grid Table 3"/>
    <w:basedOn w:val="TableNormal"/>
    <w:uiPriority w:val="48"/>
    <w:rsid w:val="00B60586"/>
    <w:pPr>
      <w:spacing w:line="240" w:lineRule="auto"/>
    </w:pPr>
    <w:tblPr>
      <w:tblStyleRowBandSize w:val="1"/>
      <w:tblStyleColBandSize w:val="1"/>
      <w:tblBorders>
        <w:top w:val="single" w:color="807276" w:themeColor="text1" w:themeTint="99" w:sz="4" w:space="0"/>
        <w:left w:val="single" w:color="807276" w:themeColor="text1" w:themeTint="99" w:sz="4" w:space="0"/>
        <w:bottom w:val="single" w:color="807276" w:themeColor="text1" w:themeTint="99" w:sz="4" w:space="0"/>
        <w:right w:val="single" w:color="807276" w:themeColor="text1" w:themeTint="99" w:sz="4" w:space="0"/>
        <w:insideH w:val="single" w:color="807276" w:themeColor="text1" w:themeTint="99" w:sz="4" w:space="0"/>
        <w:insideV w:val="single" w:color="80727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color="807276" w:themeColor="text1" w:themeTint="99" w:sz="4" w:space="0"/>
        </w:tcBorders>
      </w:tcPr>
    </w:tblStylePr>
    <w:tblStylePr w:type="nwCell">
      <w:tblPr/>
      <w:tcPr>
        <w:tcBorders>
          <w:bottom w:val="single" w:color="807276" w:themeColor="text1" w:themeTint="99" w:sz="4" w:space="0"/>
        </w:tcBorders>
      </w:tcPr>
    </w:tblStylePr>
    <w:tblStylePr w:type="seCell">
      <w:tblPr/>
      <w:tcPr>
        <w:tcBorders>
          <w:top w:val="single" w:color="807276" w:themeColor="text1" w:themeTint="99" w:sz="4" w:space="0"/>
        </w:tcBorders>
      </w:tcPr>
    </w:tblStylePr>
    <w:tblStylePr w:type="swCell">
      <w:tblPr/>
      <w:tcPr>
        <w:tcBorders>
          <w:top w:val="single" w:color="807276" w:themeColor="text1" w:themeTint="99" w:sz="4" w:space="0"/>
        </w:tcBorders>
      </w:tcPr>
    </w:tblStylePr>
  </w:style>
  <w:style w:type="table" w:styleId="GridTable3-Accent1">
    <w:name w:val="Grid Table 3 Accent 1"/>
    <w:basedOn w:val="TableNormal"/>
    <w:uiPriority w:val="48"/>
    <w:rsid w:val="00B60586"/>
    <w:pPr>
      <w:spacing w:line="240" w:lineRule="auto"/>
    </w:pPr>
    <w:tblPr>
      <w:tblStyleRowBandSize w:val="1"/>
      <w:tblStyleColBandSize w:val="1"/>
      <w:tblBorders>
        <w:top w:val="single" w:color="B8E1E7" w:themeColor="accent1" w:themeTint="99" w:sz="4" w:space="0"/>
        <w:left w:val="single" w:color="B8E1E7" w:themeColor="accent1" w:themeTint="99" w:sz="4" w:space="0"/>
        <w:bottom w:val="single" w:color="B8E1E7" w:themeColor="accent1" w:themeTint="99" w:sz="4" w:space="0"/>
        <w:right w:val="single" w:color="B8E1E7" w:themeColor="accent1" w:themeTint="99" w:sz="4" w:space="0"/>
        <w:insideH w:val="single" w:color="B8E1E7" w:themeColor="accent1" w:themeTint="99" w:sz="4" w:space="0"/>
        <w:insideV w:val="single" w:color="B8E1E7"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color="B8E1E7" w:themeColor="accent1" w:themeTint="99" w:sz="4" w:space="0"/>
        </w:tcBorders>
      </w:tcPr>
    </w:tblStylePr>
    <w:tblStylePr w:type="nwCell">
      <w:tblPr/>
      <w:tcPr>
        <w:tcBorders>
          <w:bottom w:val="single" w:color="B8E1E7" w:themeColor="accent1" w:themeTint="99" w:sz="4" w:space="0"/>
        </w:tcBorders>
      </w:tcPr>
    </w:tblStylePr>
    <w:tblStylePr w:type="seCell">
      <w:tblPr/>
      <w:tcPr>
        <w:tcBorders>
          <w:top w:val="single" w:color="B8E1E7" w:themeColor="accent1" w:themeTint="99" w:sz="4" w:space="0"/>
        </w:tcBorders>
      </w:tcPr>
    </w:tblStylePr>
    <w:tblStylePr w:type="swCell">
      <w:tblPr/>
      <w:tcPr>
        <w:tcBorders>
          <w:top w:val="single" w:color="B8E1E7" w:themeColor="accent1" w:themeTint="99" w:sz="4" w:space="0"/>
        </w:tcBorders>
      </w:tcPr>
    </w:tblStylePr>
  </w:style>
  <w:style w:type="table" w:styleId="GridTable3-Accent2">
    <w:name w:val="Grid Table 3 Accent 2"/>
    <w:basedOn w:val="TableNormal"/>
    <w:uiPriority w:val="48"/>
    <w:rsid w:val="00B60586"/>
    <w:pPr>
      <w:spacing w:line="240" w:lineRule="auto"/>
    </w:pPr>
    <w:tblPr>
      <w:tblStyleRowBandSize w:val="1"/>
      <w:tblStyleColBandSize w:val="1"/>
      <w:tblBorders>
        <w:top w:val="single" w:color="0884FF" w:themeColor="accent2" w:themeTint="99" w:sz="4" w:space="0"/>
        <w:left w:val="single" w:color="0884FF" w:themeColor="accent2" w:themeTint="99" w:sz="4" w:space="0"/>
        <w:bottom w:val="single" w:color="0884FF" w:themeColor="accent2" w:themeTint="99" w:sz="4" w:space="0"/>
        <w:right w:val="single" w:color="0884FF" w:themeColor="accent2" w:themeTint="99" w:sz="4" w:space="0"/>
        <w:insideH w:val="single" w:color="0884FF" w:themeColor="accent2" w:themeTint="99" w:sz="4" w:space="0"/>
        <w:insideV w:val="single" w:color="0884FF"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color="0884FF" w:themeColor="accent2" w:themeTint="99" w:sz="4" w:space="0"/>
        </w:tcBorders>
      </w:tcPr>
    </w:tblStylePr>
    <w:tblStylePr w:type="nwCell">
      <w:tblPr/>
      <w:tcPr>
        <w:tcBorders>
          <w:bottom w:val="single" w:color="0884FF" w:themeColor="accent2" w:themeTint="99" w:sz="4" w:space="0"/>
        </w:tcBorders>
      </w:tcPr>
    </w:tblStylePr>
    <w:tblStylePr w:type="seCell">
      <w:tblPr/>
      <w:tcPr>
        <w:tcBorders>
          <w:top w:val="single" w:color="0884FF" w:themeColor="accent2" w:themeTint="99" w:sz="4" w:space="0"/>
        </w:tcBorders>
      </w:tcPr>
    </w:tblStylePr>
    <w:tblStylePr w:type="swCell">
      <w:tblPr/>
      <w:tcPr>
        <w:tcBorders>
          <w:top w:val="single" w:color="0884FF" w:themeColor="accent2" w:themeTint="99" w:sz="4" w:space="0"/>
        </w:tcBorders>
      </w:tcPr>
    </w:tblStylePr>
  </w:style>
  <w:style w:type="table" w:styleId="GridTable3-Accent3">
    <w:name w:val="Grid Table 3 Accent 3"/>
    <w:basedOn w:val="TableNormal"/>
    <w:uiPriority w:val="48"/>
    <w:rsid w:val="00B60586"/>
    <w:pPr>
      <w:spacing w:line="240" w:lineRule="auto"/>
    </w:pPr>
    <w:tblPr>
      <w:tblStyleRowBandSize w:val="1"/>
      <w:tblStyleColBandSize w:val="1"/>
      <w:tblBorders>
        <w:top w:val="single" w:color="F69481" w:themeColor="accent3" w:themeTint="99" w:sz="4" w:space="0"/>
        <w:left w:val="single" w:color="F69481" w:themeColor="accent3" w:themeTint="99" w:sz="4" w:space="0"/>
        <w:bottom w:val="single" w:color="F69481" w:themeColor="accent3" w:themeTint="99" w:sz="4" w:space="0"/>
        <w:right w:val="single" w:color="F69481" w:themeColor="accent3" w:themeTint="99" w:sz="4" w:space="0"/>
        <w:insideH w:val="single" w:color="F69481" w:themeColor="accent3" w:themeTint="99" w:sz="4" w:space="0"/>
        <w:insideV w:val="single" w:color="F69481"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color="F69481" w:themeColor="accent3" w:themeTint="99" w:sz="4" w:space="0"/>
        </w:tcBorders>
      </w:tcPr>
    </w:tblStylePr>
    <w:tblStylePr w:type="nwCell">
      <w:tblPr/>
      <w:tcPr>
        <w:tcBorders>
          <w:bottom w:val="single" w:color="F69481" w:themeColor="accent3" w:themeTint="99" w:sz="4" w:space="0"/>
        </w:tcBorders>
      </w:tcPr>
    </w:tblStylePr>
    <w:tblStylePr w:type="seCell">
      <w:tblPr/>
      <w:tcPr>
        <w:tcBorders>
          <w:top w:val="single" w:color="F69481" w:themeColor="accent3" w:themeTint="99" w:sz="4" w:space="0"/>
        </w:tcBorders>
      </w:tcPr>
    </w:tblStylePr>
    <w:tblStylePr w:type="swCell">
      <w:tblPr/>
      <w:tcPr>
        <w:tcBorders>
          <w:top w:val="single" w:color="F69481" w:themeColor="accent3" w:themeTint="99" w:sz="4" w:space="0"/>
        </w:tcBorders>
      </w:tcPr>
    </w:tblStylePr>
  </w:style>
  <w:style w:type="table" w:styleId="GridTable3-Accent4">
    <w:name w:val="Grid Table 3 Accent 4"/>
    <w:basedOn w:val="TableNormal"/>
    <w:uiPriority w:val="48"/>
    <w:rsid w:val="00B60586"/>
    <w:pPr>
      <w:spacing w:line="240" w:lineRule="auto"/>
    </w:pPr>
    <w:tblPr>
      <w:tblStyleRowBandSize w:val="1"/>
      <w:tblStyleColBandSize w:val="1"/>
      <w:tblBorders>
        <w:top w:val="single" w:color="95D8C7" w:themeColor="accent4" w:themeTint="99" w:sz="4" w:space="0"/>
        <w:left w:val="single" w:color="95D8C7" w:themeColor="accent4" w:themeTint="99" w:sz="4" w:space="0"/>
        <w:bottom w:val="single" w:color="95D8C7" w:themeColor="accent4" w:themeTint="99" w:sz="4" w:space="0"/>
        <w:right w:val="single" w:color="95D8C7" w:themeColor="accent4" w:themeTint="99" w:sz="4" w:space="0"/>
        <w:insideH w:val="single" w:color="95D8C7" w:themeColor="accent4" w:themeTint="99" w:sz="4" w:space="0"/>
        <w:insideV w:val="single" w:color="95D8C7"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color="95D8C7" w:themeColor="accent4" w:themeTint="99" w:sz="4" w:space="0"/>
        </w:tcBorders>
      </w:tcPr>
    </w:tblStylePr>
    <w:tblStylePr w:type="nwCell">
      <w:tblPr/>
      <w:tcPr>
        <w:tcBorders>
          <w:bottom w:val="single" w:color="95D8C7" w:themeColor="accent4" w:themeTint="99" w:sz="4" w:space="0"/>
        </w:tcBorders>
      </w:tcPr>
    </w:tblStylePr>
    <w:tblStylePr w:type="seCell">
      <w:tblPr/>
      <w:tcPr>
        <w:tcBorders>
          <w:top w:val="single" w:color="95D8C7" w:themeColor="accent4" w:themeTint="99" w:sz="4" w:space="0"/>
        </w:tcBorders>
      </w:tcPr>
    </w:tblStylePr>
    <w:tblStylePr w:type="swCell">
      <w:tblPr/>
      <w:tcPr>
        <w:tcBorders>
          <w:top w:val="single" w:color="95D8C7" w:themeColor="accent4" w:themeTint="99" w:sz="4" w:space="0"/>
        </w:tcBorders>
      </w:tcPr>
    </w:tblStylePr>
  </w:style>
  <w:style w:type="table" w:styleId="GridTable3-Accent5">
    <w:name w:val="Grid Table 3 Accent 5"/>
    <w:basedOn w:val="TableNormal"/>
    <w:uiPriority w:val="48"/>
    <w:rsid w:val="00B60586"/>
    <w:pPr>
      <w:spacing w:line="240" w:lineRule="auto"/>
    </w:pPr>
    <w:tblPr>
      <w:tblStyleRowBandSize w:val="1"/>
      <w:tblStyleColBandSize w:val="1"/>
      <w:tblBorders>
        <w:top w:val="single" w:color="C2A1CB" w:themeColor="accent5" w:themeTint="99" w:sz="4" w:space="0"/>
        <w:left w:val="single" w:color="C2A1CB" w:themeColor="accent5" w:themeTint="99" w:sz="4" w:space="0"/>
        <w:bottom w:val="single" w:color="C2A1CB" w:themeColor="accent5" w:themeTint="99" w:sz="4" w:space="0"/>
        <w:right w:val="single" w:color="C2A1CB" w:themeColor="accent5" w:themeTint="99" w:sz="4" w:space="0"/>
        <w:insideH w:val="single" w:color="C2A1CB" w:themeColor="accent5" w:themeTint="99" w:sz="4" w:space="0"/>
        <w:insideV w:val="single" w:color="C2A1CB"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color="C2A1CB" w:themeColor="accent5" w:themeTint="99" w:sz="4" w:space="0"/>
        </w:tcBorders>
      </w:tcPr>
    </w:tblStylePr>
    <w:tblStylePr w:type="nwCell">
      <w:tblPr/>
      <w:tcPr>
        <w:tcBorders>
          <w:bottom w:val="single" w:color="C2A1CB" w:themeColor="accent5" w:themeTint="99" w:sz="4" w:space="0"/>
        </w:tcBorders>
      </w:tcPr>
    </w:tblStylePr>
    <w:tblStylePr w:type="seCell">
      <w:tblPr/>
      <w:tcPr>
        <w:tcBorders>
          <w:top w:val="single" w:color="C2A1CB" w:themeColor="accent5" w:themeTint="99" w:sz="4" w:space="0"/>
        </w:tcBorders>
      </w:tcPr>
    </w:tblStylePr>
    <w:tblStylePr w:type="swCell">
      <w:tblPr/>
      <w:tcPr>
        <w:tcBorders>
          <w:top w:val="single" w:color="C2A1CB" w:themeColor="accent5" w:themeTint="99" w:sz="4" w:space="0"/>
        </w:tcBorders>
      </w:tcPr>
    </w:tblStylePr>
  </w:style>
  <w:style w:type="table" w:styleId="GridTable3-Accent6">
    <w:name w:val="Grid Table 3 Accent 6"/>
    <w:basedOn w:val="TableNormal"/>
    <w:uiPriority w:val="48"/>
    <w:rsid w:val="00B60586"/>
    <w:pPr>
      <w:spacing w:line="240" w:lineRule="auto"/>
    </w:pPr>
    <w:tblPr>
      <w:tblStyleRowBandSize w:val="1"/>
      <w:tblStyleColBandSize w:val="1"/>
      <w:tblBorders>
        <w:top w:val="single" w:color="FFE2A0" w:themeColor="accent6" w:themeTint="99" w:sz="4" w:space="0"/>
        <w:left w:val="single" w:color="FFE2A0" w:themeColor="accent6" w:themeTint="99" w:sz="4" w:space="0"/>
        <w:bottom w:val="single" w:color="FFE2A0" w:themeColor="accent6" w:themeTint="99" w:sz="4" w:space="0"/>
        <w:right w:val="single" w:color="FFE2A0" w:themeColor="accent6" w:themeTint="99" w:sz="4" w:space="0"/>
        <w:insideH w:val="single" w:color="FFE2A0" w:themeColor="accent6" w:themeTint="99" w:sz="4" w:space="0"/>
        <w:insideV w:val="single" w:color="FFE2A0"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color="FFE2A0" w:themeColor="accent6" w:themeTint="99" w:sz="4" w:space="0"/>
        </w:tcBorders>
      </w:tcPr>
    </w:tblStylePr>
    <w:tblStylePr w:type="nwCell">
      <w:tblPr/>
      <w:tcPr>
        <w:tcBorders>
          <w:bottom w:val="single" w:color="FFE2A0" w:themeColor="accent6" w:themeTint="99" w:sz="4" w:space="0"/>
        </w:tcBorders>
      </w:tcPr>
    </w:tblStylePr>
    <w:tblStylePr w:type="seCell">
      <w:tblPr/>
      <w:tcPr>
        <w:tcBorders>
          <w:top w:val="single" w:color="FFE2A0" w:themeColor="accent6" w:themeTint="99" w:sz="4" w:space="0"/>
        </w:tcBorders>
      </w:tcPr>
    </w:tblStylePr>
    <w:tblStylePr w:type="swCell">
      <w:tblPr/>
      <w:tcPr>
        <w:tcBorders>
          <w:top w:val="single" w:color="FFE2A0" w:themeColor="accent6" w:themeTint="99" w:sz="4" w:space="0"/>
        </w:tcBorders>
      </w:tcPr>
    </w:tblStylePr>
  </w:style>
  <w:style w:type="table" w:styleId="GridTable4">
    <w:name w:val="Grid Table 4"/>
    <w:basedOn w:val="TableNormal"/>
    <w:uiPriority w:val="49"/>
    <w:rsid w:val="00B60586"/>
    <w:pPr>
      <w:spacing w:line="240" w:lineRule="auto"/>
    </w:pPr>
    <w:tblPr>
      <w:tblStyleRowBandSize w:val="1"/>
      <w:tblStyleColBandSize w:val="1"/>
      <w:tblBorders>
        <w:top w:val="single" w:color="807276" w:themeColor="text1" w:themeTint="99" w:sz="4" w:space="0"/>
        <w:left w:val="single" w:color="807276" w:themeColor="text1" w:themeTint="99" w:sz="4" w:space="0"/>
        <w:bottom w:val="single" w:color="807276" w:themeColor="text1" w:themeTint="99" w:sz="4" w:space="0"/>
        <w:right w:val="single" w:color="807276" w:themeColor="text1" w:themeTint="99" w:sz="4" w:space="0"/>
        <w:insideH w:val="single" w:color="807276" w:themeColor="text1" w:themeTint="99" w:sz="4" w:space="0"/>
        <w:insideV w:val="single" w:color="807276" w:themeColor="text1" w:themeTint="99" w:sz="4" w:space="0"/>
      </w:tblBorders>
    </w:tblPr>
    <w:tblStylePr w:type="firstRow">
      <w:rPr>
        <w:b/>
        <w:bCs/>
        <w:color w:val="FFFFFF" w:themeColor="background1"/>
      </w:rPr>
      <w:tblPr/>
      <w:tcPr>
        <w:tcBorders>
          <w:top w:val="single" w:color="231F20" w:themeColor="text1" w:sz="4" w:space="0"/>
          <w:left w:val="single" w:color="231F20" w:themeColor="text1" w:sz="4" w:space="0"/>
          <w:bottom w:val="single" w:color="231F20" w:themeColor="text1" w:sz="4" w:space="0"/>
          <w:right w:val="single" w:color="231F20" w:themeColor="text1" w:sz="4" w:space="0"/>
          <w:insideH w:val="nil"/>
          <w:insideV w:val="nil"/>
        </w:tcBorders>
        <w:shd w:val="clear" w:color="auto" w:fill="231F20" w:themeFill="text1"/>
      </w:tcPr>
    </w:tblStylePr>
    <w:tblStylePr w:type="lastRow">
      <w:rPr>
        <w:b/>
        <w:bCs/>
      </w:rPr>
      <w:tblPr/>
      <w:tcPr>
        <w:tcBorders>
          <w:top w:val="double" w:color="231F20" w:themeColor="text1" w:sz="4" w:space="0"/>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rsid w:val="00B60586"/>
    <w:pPr>
      <w:spacing w:line="240" w:lineRule="auto"/>
    </w:pPr>
    <w:tblPr>
      <w:tblStyleRowBandSize w:val="1"/>
      <w:tblStyleColBandSize w:val="1"/>
      <w:tblBorders>
        <w:top w:val="single" w:color="B8E1E7" w:themeColor="accent1" w:themeTint="99" w:sz="4" w:space="0"/>
        <w:left w:val="single" w:color="B8E1E7" w:themeColor="accent1" w:themeTint="99" w:sz="4" w:space="0"/>
        <w:bottom w:val="single" w:color="B8E1E7" w:themeColor="accent1" w:themeTint="99" w:sz="4" w:space="0"/>
        <w:right w:val="single" w:color="B8E1E7" w:themeColor="accent1" w:themeTint="99" w:sz="4" w:space="0"/>
        <w:insideH w:val="single" w:color="B8E1E7" w:themeColor="accent1" w:themeTint="99" w:sz="4" w:space="0"/>
        <w:insideV w:val="single" w:color="B8E1E7" w:themeColor="accent1" w:themeTint="99" w:sz="4" w:space="0"/>
      </w:tblBorders>
    </w:tblPr>
    <w:tblStylePr w:type="firstRow">
      <w:rPr>
        <w:b/>
        <w:bCs/>
        <w:color w:val="FFFFFF" w:themeColor="background1"/>
      </w:rPr>
      <w:tblPr/>
      <w:tcPr>
        <w:tcBorders>
          <w:top w:val="single" w:color="8ACED7" w:themeColor="accent1" w:sz="4" w:space="0"/>
          <w:left w:val="single" w:color="8ACED7" w:themeColor="accent1" w:sz="4" w:space="0"/>
          <w:bottom w:val="single" w:color="8ACED7" w:themeColor="accent1" w:sz="4" w:space="0"/>
          <w:right w:val="single" w:color="8ACED7" w:themeColor="accent1" w:sz="4" w:space="0"/>
          <w:insideH w:val="nil"/>
          <w:insideV w:val="nil"/>
        </w:tcBorders>
        <w:shd w:val="clear" w:color="auto" w:fill="8ACED7" w:themeFill="accent1"/>
      </w:tcPr>
    </w:tblStylePr>
    <w:tblStylePr w:type="lastRow">
      <w:rPr>
        <w:b/>
        <w:bCs/>
      </w:rPr>
      <w:tblPr/>
      <w:tcPr>
        <w:tcBorders>
          <w:top w:val="double" w:color="8ACED7" w:themeColor="accent1" w:sz="4" w:space="0"/>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rsid w:val="00B60586"/>
    <w:pPr>
      <w:spacing w:line="240" w:lineRule="auto"/>
    </w:pPr>
    <w:tblPr>
      <w:tblStyleRowBandSize w:val="1"/>
      <w:tblStyleColBandSize w:val="1"/>
      <w:tblBorders>
        <w:top w:val="single" w:color="0884FF" w:themeColor="accent2" w:themeTint="99" w:sz="4" w:space="0"/>
        <w:left w:val="single" w:color="0884FF" w:themeColor="accent2" w:themeTint="99" w:sz="4" w:space="0"/>
        <w:bottom w:val="single" w:color="0884FF" w:themeColor="accent2" w:themeTint="99" w:sz="4" w:space="0"/>
        <w:right w:val="single" w:color="0884FF" w:themeColor="accent2" w:themeTint="99" w:sz="4" w:space="0"/>
        <w:insideH w:val="single" w:color="0884FF" w:themeColor="accent2" w:themeTint="99" w:sz="4" w:space="0"/>
        <w:insideV w:val="single" w:color="0884FF" w:themeColor="accent2" w:themeTint="99" w:sz="4" w:space="0"/>
      </w:tblBorders>
    </w:tblPr>
    <w:tblStylePr w:type="firstRow">
      <w:rPr>
        <w:b/>
        <w:bCs/>
        <w:color w:val="FFFFFF" w:themeColor="background1"/>
      </w:rPr>
      <w:tblPr/>
      <w:tcPr>
        <w:tcBorders>
          <w:top w:val="single" w:color="003263" w:themeColor="accent2" w:sz="4" w:space="0"/>
          <w:left w:val="single" w:color="003263" w:themeColor="accent2" w:sz="4" w:space="0"/>
          <w:bottom w:val="single" w:color="003263" w:themeColor="accent2" w:sz="4" w:space="0"/>
          <w:right w:val="single" w:color="003263" w:themeColor="accent2" w:sz="4" w:space="0"/>
          <w:insideH w:val="nil"/>
          <w:insideV w:val="nil"/>
        </w:tcBorders>
        <w:shd w:val="clear" w:color="auto" w:fill="003263" w:themeFill="accent2"/>
      </w:tcPr>
    </w:tblStylePr>
    <w:tblStylePr w:type="lastRow">
      <w:rPr>
        <w:b/>
        <w:bCs/>
      </w:rPr>
      <w:tblPr/>
      <w:tcPr>
        <w:tcBorders>
          <w:top w:val="double" w:color="003263" w:themeColor="accent2" w:sz="4" w:space="0"/>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4-Accent3">
    <w:name w:val="Grid Table 4 Accent 3"/>
    <w:basedOn w:val="TableNormal"/>
    <w:uiPriority w:val="49"/>
    <w:rsid w:val="00B60586"/>
    <w:pPr>
      <w:spacing w:line="240" w:lineRule="auto"/>
    </w:pPr>
    <w:tblPr>
      <w:tblStyleRowBandSize w:val="1"/>
      <w:tblStyleColBandSize w:val="1"/>
      <w:tblBorders>
        <w:top w:val="single" w:color="F69481" w:themeColor="accent3" w:themeTint="99" w:sz="4" w:space="0"/>
        <w:left w:val="single" w:color="F69481" w:themeColor="accent3" w:themeTint="99" w:sz="4" w:space="0"/>
        <w:bottom w:val="single" w:color="F69481" w:themeColor="accent3" w:themeTint="99" w:sz="4" w:space="0"/>
        <w:right w:val="single" w:color="F69481" w:themeColor="accent3" w:themeTint="99" w:sz="4" w:space="0"/>
        <w:insideH w:val="single" w:color="F69481" w:themeColor="accent3" w:themeTint="99" w:sz="4" w:space="0"/>
        <w:insideV w:val="single" w:color="F69481" w:themeColor="accent3" w:themeTint="99" w:sz="4" w:space="0"/>
      </w:tblBorders>
    </w:tblPr>
    <w:tblStylePr w:type="firstRow">
      <w:rPr>
        <w:b/>
        <w:bCs/>
        <w:color w:val="FFFFFF" w:themeColor="background1"/>
      </w:rPr>
      <w:tblPr/>
      <w:tcPr>
        <w:tcBorders>
          <w:top w:val="single" w:color="F04E2D" w:themeColor="accent3" w:sz="4" w:space="0"/>
          <w:left w:val="single" w:color="F04E2D" w:themeColor="accent3" w:sz="4" w:space="0"/>
          <w:bottom w:val="single" w:color="F04E2D" w:themeColor="accent3" w:sz="4" w:space="0"/>
          <w:right w:val="single" w:color="F04E2D" w:themeColor="accent3" w:sz="4" w:space="0"/>
          <w:insideH w:val="nil"/>
          <w:insideV w:val="nil"/>
        </w:tcBorders>
        <w:shd w:val="clear" w:color="auto" w:fill="F04E2D" w:themeFill="accent3"/>
      </w:tcPr>
    </w:tblStylePr>
    <w:tblStylePr w:type="lastRow">
      <w:rPr>
        <w:b/>
        <w:bCs/>
      </w:rPr>
      <w:tblPr/>
      <w:tcPr>
        <w:tcBorders>
          <w:top w:val="double" w:color="F04E2D" w:themeColor="accent3" w:sz="4" w:space="0"/>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4-Accent4">
    <w:name w:val="Grid Table 4 Accent 4"/>
    <w:basedOn w:val="TableNormal"/>
    <w:uiPriority w:val="49"/>
    <w:rsid w:val="00B60586"/>
    <w:pPr>
      <w:spacing w:line="240" w:lineRule="auto"/>
    </w:pPr>
    <w:tblPr>
      <w:tblStyleRowBandSize w:val="1"/>
      <w:tblStyleColBandSize w:val="1"/>
      <w:tblBorders>
        <w:top w:val="single" w:color="95D8C7" w:themeColor="accent4" w:themeTint="99" w:sz="4" w:space="0"/>
        <w:left w:val="single" w:color="95D8C7" w:themeColor="accent4" w:themeTint="99" w:sz="4" w:space="0"/>
        <w:bottom w:val="single" w:color="95D8C7" w:themeColor="accent4" w:themeTint="99" w:sz="4" w:space="0"/>
        <w:right w:val="single" w:color="95D8C7" w:themeColor="accent4" w:themeTint="99" w:sz="4" w:space="0"/>
        <w:insideH w:val="single" w:color="95D8C7" w:themeColor="accent4" w:themeTint="99" w:sz="4" w:space="0"/>
        <w:insideV w:val="single" w:color="95D8C7" w:themeColor="accent4" w:themeTint="99" w:sz="4" w:space="0"/>
      </w:tblBorders>
    </w:tblPr>
    <w:tblStylePr w:type="firstRow">
      <w:rPr>
        <w:b/>
        <w:bCs/>
        <w:color w:val="FFFFFF" w:themeColor="background1"/>
      </w:rPr>
      <w:tblPr/>
      <w:tcPr>
        <w:tcBorders>
          <w:top w:val="single" w:color="50BFA2" w:themeColor="accent4" w:sz="4" w:space="0"/>
          <w:left w:val="single" w:color="50BFA2" w:themeColor="accent4" w:sz="4" w:space="0"/>
          <w:bottom w:val="single" w:color="50BFA2" w:themeColor="accent4" w:sz="4" w:space="0"/>
          <w:right w:val="single" w:color="50BFA2" w:themeColor="accent4" w:sz="4" w:space="0"/>
          <w:insideH w:val="nil"/>
          <w:insideV w:val="nil"/>
        </w:tcBorders>
        <w:shd w:val="clear" w:color="auto" w:fill="50BFA2" w:themeFill="accent4"/>
      </w:tcPr>
    </w:tblStylePr>
    <w:tblStylePr w:type="lastRow">
      <w:rPr>
        <w:b/>
        <w:bCs/>
      </w:rPr>
      <w:tblPr/>
      <w:tcPr>
        <w:tcBorders>
          <w:top w:val="double" w:color="50BFA2" w:themeColor="accent4" w:sz="4" w:space="0"/>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4-Accent5">
    <w:name w:val="Grid Table 4 Accent 5"/>
    <w:basedOn w:val="TableNormal"/>
    <w:uiPriority w:val="49"/>
    <w:rsid w:val="00B60586"/>
    <w:pPr>
      <w:spacing w:line="240" w:lineRule="auto"/>
    </w:pPr>
    <w:tblPr>
      <w:tblStyleRowBandSize w:val="1"/>
      <w:tblStyleColBandSize w:val="1"/>
      <w:tblBorders>
        <w:top w:val="single" w:color="C2A1CB" w:themeColor="accent5" w:themeTint="99" w:sz="4" w:space="0"/>
        <w:left w:val="single" w:color="C2A1CB" w:themeColor="accent5" w:themeTint="99" w:sz="4" w:space="0"/>
        <w:bottom w:val="single" w:color="C2A1CB" w:themeColor="accent5" w:themeTint="99" w:sz="4" w:space="0"/>
        <w:right w:val="single" w:color="C2A1CB" w:themeColor="accent5" w:themeTint="99" w:sz="4" w:space="0"/>
        <w:insideH w:val="single" w:color="C2A1CB" w:themeColor="accent5" w:themeTint="99" w:sz="4" w:space="0"/>
        <w:insideV w:val="single" w:color="C2A1CB" w:themeColor="accent5" w:themeTint="99" w:sz="4" w:space="0"/>
      </w:tblBorders>
    </w:tblPr>
    <w:tblStylePr w:type="firstRow">
      <w:rPr>
        <w:b/>
        <w:bCs/>
        <w:color w:val="FFFFFF" w:themeColor="background1"/>
      </w:rPr>
      <w:tblPr/>
      <w:tcPr>
        <w:tcBorders>
          <w:top w:val="single" w:color="9A64A9" w:themeColor="accent5" w:sz="4" w:space="0"/>
          <w:left w:val="single" w:color="9A64A9" w:themeColor="accent5" w:sz="4" w:space="0"/>
          <w:bottom w:val="single" w:color="9A64A9" w:themeColor="accent5" w:sz="4" w:space="0"/>
          <w:right w:val="single" w:color="9A64A9" w:themeColor="accent5" w:sz="4" w:space="0"/>
          <w:insideH w:val="nil"/>
          <w:insideV w:val="nil"/>
        </w:tcBorders>
        <w:shd w:val="clear" w:color="auto" w:fill="9A64A9" w:themeFill="accent5"/>
      </w:tcPr>
    </w:tblStylePr>
    <w:tblStylePr w:type="lastRow">
      <w:rPr>
        <w:b/>
        <w:bCs/>
      </w:rPr>
      <w:tblPr/>
      <w:tcPr>
        <w:tcBorders>
          <w:top w:val="double" w:color="9A64A9" w:themeColor="accent5" w:sz="4" w:space="0"/>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4-Accent6">
    <w:name w:val="Grid Table 4 Accent 6"/>
    <w:basedOn w:val="TableNormal"/>
    <w:uiPriority w:val="49"/>
    <w:rsid w:val="00B60586"/>
    <w:pPr>
      <w:spacing w:line="240" w:lineRule="auto"/>
    </w:pPr>
    <w:tblPr>
      <w:tblStyleRowBandSize w:val="1"/>
      <w:tblStyleColBandSize w:val="1"/>
      <w:tblBorders>
        <w:top w:val="single" w:color="FFE2A0" w:themeColor="accent6" w:themeTint="99" w:sz="4" w:space="0"/>
        <w:left w:val="single" w:color="FFE2A0" w:themeColor="accent6" w:themeTint="99" w:sz="4" w:space="0"/>
        <w:bottom w:val="single" w:color="FFE2A0" w:themeColor="accent6" w:themeTint="99" w:sz="4" w:space="0"/>
        <w:right w:val="single" w:color="FFE2A0" w:themeColor="accent6" w:themeTint="99" w:sz="4" w:space="0"/>
        <w:insideH w:val="single" w:color="FFE2A0" w:themeColor="accent6" w:themeTint="99" w:sz="4" w:space="0"/>
        <w:insideV w:val="single" w:color="FFE2A0" w:themeColor="accent6" w:themeTint="99" w:sz="4" w:space="0"/>
      </w:tblBorders>
    </w:tblPr>
    <w:tblStylePr w:type="firstRow">
      <w:rPr>
        <w:b/>
        <w:bCs/>
        <w:color w:val="FFFFFF" w:themeColor="background1"/>
      </w:rPr>
      <w:tblPr/>
      <w:tcPr>
        <w:tcBorders>
          <w:top w:val="single" w:color="FFCF62" w:themeColor="accent6" w:sz="4" w:space="0"/>
          <w:left w:val="single" w:color="FFCF62" w:themeColor="accent6" w:sz="4" w:space="0"/>
          <w:bottom w:val="single" w:color="FFCF62" w:themeColor="accent6" w:sz="4" w:space="0"/>
          <w:right w:val="single" w:color="FFCF62" w:themeColor="accent6" w:sz="4" w:space="0"/>
          <w:insideH w:val="nil"/>
          <w:insideV w:val="nil"/>
        </w:tcBorders>
        <w:shd w:val="clear" w:color="auto" w:fill="FFCF62" w:themeFill="accent6"/>
      </w:tcPr>
    </w:tblStylePr>
    <w:tblStylePr w:type="lastRow">
      <w:rPr>
        <w:b/>
        <w:bCs/>
      </w:rPr>
      <w:tblPr/>
      <w:tcPr>
        <w:tcBorders>
          <w:top w:val="double" w:color="FFCF62" w:themeColor="accent6" w:sz="4" w:space="0"/>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5Dark">
    <w:name w:val="Grid Table 5 Dark"/>
    <w:basedOn w:val="TableNormal"/>
    <w:uiPriority w:val="50"/>
    <w:rsid w:val="00B60586"/>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5CFD1"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231F2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231F2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231F2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rsid w:val="00B60586"/>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7F5F7"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8ACED7"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8ACED7"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8ACED7"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rsid w:val="00B60586"/>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ACD5FF"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3263"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3263"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3263"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3263" w:themeFill="accent2"/>
      </w:tcPr>
    </w:tblStylePr>
    <w:tblStylePr w:type="band1Vert">
      <w:tblPr/>
      <w:tcPr>
        <w:shd w:val="clear" w:color="auto" w:fill="5AACFF" w:themeFill="accent2" w:themeFillTint="66"/>
      </w:tcPr>
    </w:tblStylePr>
    <w:tblStylePr w:type="band1Horz">
      <w:tblPr/>
      <w:tcPr>
        <w:shd w:val="clear" w:color="auto" w:fill="5AACFF" w:themeFill="accent2" w:themeFillTint="66"/>
      </w:tcPr>
    </w:tblStylePr>
  </w:style>
  <w:style w:type="table" w:styleId="GridTable5Dark-Accent3">
    <w:name w:val="Grid Table 5 Dark Accent 3"/>
    <w:basedOn w:val="TableNormal"/>
    <w:uiPriority w:val="50"/>
    <w:rsid w:val="00B60586"/>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CDBD5"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04E2D"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04E2D"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F04E2D"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04E2D" w:themeFill="accent3"/>
      </w:tcPr>
    </w:tblStylePr>
    <w:tblStylePr w:type="band1Vert">
      <w:tblPr/>
      <w:tcPr>
        <w:shd w:val="clear" w:color="auto" w:fill="F9B8AB" w:themeFill="accent3" w:themeFillTint="66"/>
      </w:tcPr>
    </w:tblStylePr>
    <w:tblStylePr w:type="band1Horz">
      <w:tblPr/>
      <w:tcPr>
        <w:shd w:val="clear" w:color="auto" w:fill="F9B8AB" w:themeFill="accent3" w:themeFillTint="66"/>
      </w:tcPr>
    </w:tblStylePr>
  </w:style>
  <w:style w:type="table" w:styleId="GridTable5Dark-Accent4">
    <w:name w:val="Grid Table 5 Dark Accent 4"/>
    <w:basedOn w:val="TableNormal"/>
    <w:uiPriority w:val="50"/>
    <w:rsid w:val="00B60586"/>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BF2EC"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0BFA2"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0BFA2"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50BFA2"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0BFA2" w:themeFill="accent4"/>
      </w:tcPr>
    </w:tblStylePr>
    <w:tblStylePr w:type="band1Vert">
      <w:tblPr/>
      <w:tcPr>
        <w:shd w:val="clear" w:color="auto" w:fill="B8E5D9" w:themeFill="accent4" w:themeFillTint="66"/>
      </w:tcPr>
    </w:tblStylePr>
    <w:tblStylePr w:type="band1Horz">
      <w:tblPr/>
      <w:tcPr>
        <w:shd w:val="clear" w:color="auto" w:fill="B8E5D9" w:themeFill="accent4" w:themeFillTint="66"/>
      </w:tcPr>
    </w:tblStylePr>
  </w:style>
  <w:style w:type="table" w:styleId="GridTable5Dark-Accent5">
    <w:name w:val="Grid Table 5 Dark Accent 5"/>
    <w:basedOn w:val="TableNormal"/>
    <w:uiPriority w:val="50"/>
    <w:rsid w:val="00B60586"/>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ADFED"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A64A9"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A64A9"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9A64A9"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A64A9" w:themeFill="accent5"/>
      </w:tcPr>
    </w:tblStylePr>
    <w:tblStylePr w:type="band1Vert">
      <w:tblPr/>
      <w:tcPr>
        <w:shd w:val="clear" w:color="auto" w:fill="D6C0DC" w:themeFill="accent5" w:themeFillTint="66"/>
      </w:tcPr>
    </w:tblStylePr>
    <w:tblStylePr w:type="band1Horz">
      <w:tblPr/>
      <w:tcPr>
        <w:shd w:val="clear" w:color="auto" w:fill="D6C0DC" w:themeFill="accent5" w:themeFillTint="66"/>
      </w:tcPr>
    </w:tblStylePr>
  </w:style>
  <w:style w:type="table" w:styleId="GridTable5Dark-Accent6">
    <w:name w:val="Grid Table 5 Dark Accent 6"/>
    <w:basedOn w:val="TableNormal"/>
    <w:uiPriority w:val="50"/>
    <w:rsid w:val="00B60586"/>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FF5DF"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CF62"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CF62"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CF62"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CF62" w:themeFill="accent6"/>
      </w:tcPr>
    </w:tblStylePr>
    <w:tblStylePr w:type="band1Vert">
      <w:tblPr/>
      <w:tcPr>
        <w:shd w:val="clear" w:color="auto" w:fill="FFEBC0" w:themeFill="accent6" w:themeFillTint="66"/>
      </w:tcPr>
    </w:tblStylePr>
    <w:tblStylePr w:type="band1Horz">
      <w:tblPr/>
      <w:tcPr>
        <w:shd w:val="clear" w:color="auto" w:fill="FFEBC0" w:themeFill="accent6" w:themeFillTint="66"/>
      </w:tcPr>
    </w:tblStylePr>
  </w:style>
  <w:style w:type="table" w:styleId="GridTable6Colorful">
    <w:name w:val="Grid Table 6 Colorful"/>
    <w:basedOn w:val="TableNormal"/>
    <w:uiPriority w:val="51"/>
    <w:rsid w:val="00B60586"/>
    <w:pPr>
      <w:spacing w:line="240" w:lineRule="auto"/>
    </w:pPr>
    <w:rPr>
      <w:color w:val="231F20" w:themeColor="text1"/>
    </w:rPr>
    <w:tblPr>
      <w:tblStyleRowBandSize w:val="1"/>
      <w:tblStyleColBandSize w:val="1"/>
      <w:tblBorders>
        <w:top w:val="single" w:color="807276" w:themeColor="text1" w:themeTint="99" w:sz="4" w:space="0"/>
        <w:left w:val="single" w:color="807276" w:themeColor="text1" w:themeTint="99" w:sz="4" w:space="0"/>
        <w:bottom w:val="single" w:color="807276" w:themeColor="text1" w:themeTint="99" w:sz="4" w:space="0"/>
        <w:right w:val="single" w:color="807276" w:themeColor="text1" w:themeTint="99" w:sz="4" w:space="0"/>
        <w:insideH w:val="single" w:color="807276" w:themeColor="text1" w:themeTint="99" w:sz="4" w:space="0"/>
        <w:insideV w:val="single" w:color="807276" w:themeColor="text1" w:themeTint="99" w:sz="4" w:space="0"/>
      </w:tblBorders>
    </w:tblPr>
    <w:tblStylePr w:type="firstRow">
      <w:rPr>
        <w:b/>
        <w:bCs/>
      </w:rPr>
      <w:tblPr/>
      <w:tcPr>
        <w:tcBorders>
          <w:bottom w:val="single" w:color="807276" w:themeColor="text1" w:themeTint="99" w:sz="12" w:space="0"/>
        </w:tcBorders>
      </w:tcPr>
    </w:tblStylePr>
    <w:tblStylePr w:type="lastRow">
      <w:rPr>
        <w:b/>
        <w:bCs/>
      </w:rPr>
      <w:tblPr/>
      <w:tcPr>
        <w:tcBorders>
          <w:top w:val="double" w:color="807276" w:themeColor="text1" w:themeTint="99" w:sz="4" w:space="0"/>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rsid w:val="00B60586"/>
    <w:pPr>
      <w:spacing w:line="240" w:lineRule="auto"/>
    </w:pPr>
    <w:rPr>
      <w:color w:val="47B2C0" w:themeColor="accent1" w:themeShade="BF"/>
    </w:rPr>
    <w:tblPr>
      <w:tblStyleRowBandSize w:val="1"/>
      <w:tblStyleColBandSize w:val="1"/>
      <w:tblBorders>
        <w:top w:val="single" w:color="B8E1E7" w:themeColor="accent1" w:themeTint="99" w:sz="4" w:space="0"/>
        <w:left w:val="single" w:color="B8E1E7" w:themeColor="accent1" w:themeTint="99" w:sz="4" w:space="0"/>
        <w:bottom w:val="single" w:color="B8E1E7" w:themeColor="accent1" w:themeTint="99" w:sz="4" w:space="0"/>
        <w:right w:val="single" w:color="B8E1E7" w:themeColor="accent1" w:themeTint="99" w:sz="4" w:space="0"/>
        <w:insideH w:val="single" w:color="B8E1E7" w:themeColor="accent1" w:themeTint="99" w:sz="4" w:space="0"/>
        <w:insideV w:val="single" w:color="B8E1E7" w:themeColor="accent1" w:themeTint="99" w:sz="4" w:space="0"/>
      </w:tblBorders>
    </w:tblPr>
    <w:tblStylePr w:type="firstRow">
      <w:rPr>
        <w:b/>
        <w:bCs/>
      </w:rPr>
      <w:tblPr/>
      <w:tcPr>
        <w:tcBorders>
          <w:bottom w:val="single" w:color="B8E1E7" w:themeColor="accent1" w:themeTint="99" w:sz="12" w:space="0"/>
        </w:tcBorders>
      </w:tcPr>
    </w:tblStylePr>
    <w:tblStylePr w:type="lastRow">
      <w:rPr>
        <w:b/>
        <w:bCs/>
      </w:rPr>
      <w:tblPr/>
      <w:tcPr>
        <w:tcBorders>
          <w:top w:val="double" w:color="B8E1E7" w:themeColor="accent1" w:themeTint="99" w:sz="4" w:space="0"/>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rsid w:val="00B60586"/>
    <w:pPr>
      <w:spacing w:line="240" w:lineRule="auto"/>
    </w:pPr>
    <w:rPr>
      <w:color w:val="00254A" w:themeColor="accent2" w:themeShade="BF"/>
    </w:rPr>
    <w:tblPr>
      <w:tblStyleRowBandSize w:val="1"/>
      <w:tblStyleColBandSize w:val="1"/>
      <w:tblBorders>
        <w:top w:val="single" w:color="0884FF" w:themeColor="accent2" w:themeTint="99" w:sz="4" w:space="0"/>
        <w:left w:val="single" w:color="0884FF" w:themeColor="accent2" w:themeTint="99" w:sz="4" w:space="0"/>
        <w:bottom w:val="single" w:color="0884FF" w:themeColor="accent2" w:themeTint="99" w:sz="4" w:space="0"/>
        <w:right w:val="single" w:color="0884FF" w:themeColor="accent2" w:themeTint="99" w:sz="4" w:space="0"/>
        <w:insideH w:val="single" w:color="0884FF" w:themeColor="accent2" w:themeTint="99" w:sz="4" w:space="0"/>
        <w:insideV w:val="single" w:color="0884FF" w:themeColor="accent2" w:themeTint="99" w:sz="4" w:space="0"/>
      </w:tblBorders>
    </w:tblPr>
    <w:tblStylePr w:type="firstRow">
      <w:rPr>
        <w:b/>
        <w:bCs/>
      </w:rPr>
      <w:tblPr/>
      <w:tcPr>
        <w:tcBorders>
          <w:bottom w:val="single" w:color="0884FF" w:themeColor="accent2" w:themeTint="99" w:sz="12" w:space="0"/>
        </w:tcBorders>
      </w:tcPr>
    </w:tblStylePr>
    <w:tblStylePr w:type="lastRow">
      <w:rPr>
        <w:b/>
        <w:bCs/>
      </w:rPr>
      <w:tblPr/>
      <w:tcPr>
        <w:tcBorders>
          <w:top w:val="double" w:color="0884FF" w:themeColor="accent2" w:themeTint="99" w:sz="4" w:space="0"/>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6Colorful-Accent3">
    <w:name w:val="Grid Table 6 Colorful Accent 3"/>
    <w:basedOn w:val="TableNormal"/>
    <w:uiPriority w:val="51"/>
    <w:rsid w:val="00B60586"/>
    <w:pPr>
      <w:spacing w:line="240" w:lineRule="auto"/>
    </w:pPr>
    <w:rPr>
      <w:color w:val="C72D0E" w:themeColor="accent3" w:themeShade="BF"/>
    </w:rPr>
    <w:tblPr>
      <w:tblStyleRowBandSize w:val="1"/>
      <w:tblStyleColBandSize w:val="1"/>
      <w:tblBorders>
        <w:top w:val="single" w:color="F69481" w:themeColor="accent3" w:themeTint="99" w:sz="4" w:space="0"/>
        <w:left w:val="single" w:color="F69481" w:themeColor="accent3" w:themeTint="99" w:sz="4" w:space="0"/>
        <w:bottom w:val="single" w:color="F69481" w:themeColor="accent3" w:themeTint="99" w:sz="4" w:space="0"/>
        <w:right w:val="single" w:color="F69481" w:themeColor="accent3" w:themeTint="99" w:sz="4" w:space="0"/>
        <w:insideH w:val="single" w:color="F69481" w:themeColor="accent3" w:themeTint="99" w:sz="4" w:space="0"/>
        <w:insideV w:val="single" w:color="F69481" w:themeColor="accent3" w:themeTint="99" w:sz="4" w:space="0"/>
      </w:tblBorders>
    </w:tblPr>
    <w:tblStylePr w:type="firstRow">
      <w:rPr>
        <w:b/>
        <w:bCs/>
      </w:rPr>
      <w:tblPr/>
      <w:tcPr>
        <w:tcBorders>
          <w:bottom w:val="single" w:color="F69481" w:themeColor="accent3" w:themeTint="99" w:sz="12" w:space="0"/>
        </w:tcBorders>
      </w:tcPr>
    </w:tblStylePr>
    <w:tblStylePr w:type="lastRow">
      <w:rPr>
        <w:b/>
        <w:bCs/>
      </w:rPr>
      <w:tblPr/>
      <w:tcPr>
        <w:tcBorders>
          <w:top w:val="double" w:color="F69481" w:themeColor="accent3" w:themeTint="99" w:sz="4" w:space="0"/>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6Colorful-Accent4">
    <w:name w:val="Grid Table 6 Colorful Accent 4"/>
    <w:basedOn w:val="TableNormal"/>
    <w:uiPriority w:val="51"/>
    <w:rsid w:val="00B60586"/>
    <w:pPr>
      <w:spacing w:line="240" w:lineRule="auto"/>
    </w:pPr>
    <w:rPr>
      <w:color w:val="36947B" w:themeColor="accent4" w:themeShade="BF"/>
    </w:rPr>
    <w:tblPr>
      <w:tblStyleRowBandSize w:val="1"/>
      <w:tblStyleColBandSize w:val="1"/>
      <w:tblBorders>
        <w:top w:val="single" w:color="95D8C7" w:themeColor="accent4" w:themeTint="99" w:sz="4" w:space="0"/>
        <w:left w:val="single" w:color="95D8C7" w:themeColor="accent4" w:themeTint="99" w:sz="4" w:space="0"/>
        <w:bottom w:val="single" w:color="95D8C7" w:themeColor="accent4" w:themeTint="99" w:sz="4" w:space="0"/>
        <w:right w:val="single" w:color="95D8C7" w:themeColor="accent4" w:themeTint="99" w:sz="4" w:space="0"/>
        <w:insideH w:val="single" w:color="95D8C7" w:themeColor="accent4" w:themeTint="99" w:sz="4" w:space="0"/>
        <w:insideV w:val="single" w:color="95D8C7" w:themeColor="accent4" w:themeTint="99" w:sz="4" w:space="0"/>
      </w:tblBorders>
    </w:tblPr>
    <w:tblStylePr w:type="firstRow">
      <w:rPr>
        <w:b/>
        <w:bCs/>
      </w:rPr>
      <w:tblPr/>
      <w:tcPr>
        <w:tcBorders>
          <w:bottom w:val="single" w:color="95D8C7" w:themeColor="accent4" w:themeTint="99" w:sz="12" w:space="0"/>
        </w:tcBorders>
      </w:tcPr>
    </w:tblStylePr>
    <w:tblStylePr w:type="lastRow">
      <w:rPr>
        <w:b/>
        <w:bCs/>
      </w:rPr>
      <w:tblPr/>
      <w:tcPr>
        <w:tcBorders>
          <w:top w:val="double" w:color="95D8C7" w:themeColor="accent4" w:themeTint="99" w:sz="4" w:space="0"/>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6Colorful-Accent5">
    <w:name w:val="Grid Table 6 Colorful Accent 5"/>
    <w:basedOn w:val="TableNormal"/>
    <w:uiPriority w:val="51"/>
    <w:rsid w:val="00B60586"/>
    <w:pPr>
      <w:spacing w:line="240" w:lineRule="auto"/>
    </w:pPr>
    <w:rPr>
      <w:color w:val="744881" w:themeColor="accent5" w:themeShade="BF"/>
    </w:rPr>
    <w:tblPr>
      <w:tblStyleRowBandSize w:val="1"/>
      <w:tblStyleColBandSize w:val="1"/>
      <w:tblBorders>
        <w:top w:val="single" w:color="C2A1CB" w:themeColor="accent5" w:themeTint="99" w:sz="4" w:space="0"/>
        <w:left w:val="single" w:color="C2A1CB" w:themeColor="accent5" w:themeTint="99" w:sz="4" w:space="0"/>
        <w:bottom w:val="single" w:color="C2A1CB" w:themeColor="accent5" w:themeTint="99" w:sz="4" w:space="0"/>
        <w:right w:val="single" w:color="C2A1CB" w:themeColor="accent5" w:themeTint="99" w:sz="4" w:space="0"/>
        <w:insideH w:val="single" w:color="C2A1CB" w:themeColor="accent5" w:themeTint="99" w:sz="4" w:space="0"/>
        <w:insideV w:val="single" w:color="C2A1CB" w:themeColor="accent5" w:themeTint="99" w:sz="4" w:space="0"/>
      </w:tblBorders>
    </w:tblPr>
    <w:tblStylePr w:type="firstRow">
      <w:rPr>
        <w:b/>
        <w:bCs/>
      </w:rPr>
      <w:tblPr/>
      <w:tcPr>
        <w:tcBorders>
          <w:bottom w:val="single" w:color="C2A1CB" w:themeColor="accent5" w:themeTint="99" w:sz="12" w:space="0"/>
        </w:tcBorders>
      </w:tcPr>
    </w:tblStylePr>
    <w:tblStylePr w:type="lastRow">
      <w:rPr>
        <w:b/>
        <w:bCs/>
      </w:rPr>
      <w:tblPr/>
      <w:tcPr>
        <w:tcBorders>
          <w:top w:val="double" w:color="C2A1CB" w:themeColor="accent5" w:themeTint="99" w:sz="4" w:space="0"/>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6Colorful-Accent6">
    <w:name w:val="Grid Table 6 Colorful Accent 6"/>
    <w:basedOn w:val="TableNormal"/>
    <w:uiPriority w:val="51"/>
    <w:rsid w:val="00B60586"/>
    <w:pPr>
      <w:spacing w:line="240" w:lineRule="auto"/>
    </w:pPr>
    <w:rPr>
      <w:color w:val="FFB309" w:themeColor="accent6" w:themeShade="BF"/>
    </w:rPr>
    <w:tblPr>
      <w:tblStyleRowBandSize w:val="1"/>
      <w:tblStyleColBandSize w:val="1"/>
      <w:tblBorders>
        <w:top w:val="single" w:color="FFE2A0" w:themeColor="accent6" w:themeTint="99" w:sz="4" w:space="0"/>
        <w:left w:val="single" w:color="FFE2A0" w:themeColor="accent6" w:themeTint="99" w:sz="4" w:space="0"/>
        <w:bottom w:val="single" w:color="FFE2A0" w:themeColor="accent6" w:themeTint="99" w:sz="4" w:space="0"/>
        <w:right w:val="single" w:color="FFE2A0" w:themeColor="accent6" w:themeTint="99" w:sz="4" w:space="0"/>
        <w:insideH w:val="single" w:color="FFE2A0" w:themeColor="accent6" w:themeTint="99" w:sz="4" w:space="0"/>
        <w:insideV w:val="single" w:color="FFE2A0" w:themeColor="accent6" w:themeTint="99" w:sz="4" w:space="0"/>
      </w:tblBorders>
    </w:tblPr>
    <w:tblStylePr w:type="firstRow">
      <w:rPr>
        <w:b/>
        <w:bCs/>
      </w:rPr>
      <w:tblPr/>
      <w:tcPr>
        <w:tcBorders>
          <w:bottom w:val="single" w:color="FFE2A0" w:themeColor="accent6" w:themeTint="99" w:sz="12" w:space="0"/>
        </w:tcBorders>
      </w:tcPr>
    </w:tblStylePr>
    <w:tblStylePr w:type="lastRow">
      <w:rPr>
        <w:b/>
        <w:bCs/>
      </w:rPr>
      <w:tblPr/>
      <w:tcPr>
        <w:tcBorders>
          <w:top w:val="double" w:color="FFE2A0" w:themeColor="accent6" w:themeTint="99" w:sz="4" w:space="0"/>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7Colorful">
    <w:name w:val="Grid Table 7 Colorful"/>
    <w:basedOn w:val="TableNormal"/>
    <w:uiPriority w:val="52"/>
    <w:rsid w:val="00B60586"/>
    <w:pPr>
      <w:spacing w:line="240" w:lineRule="auto"/>
    </w:pPr>
    <w:rPr>
      <w:color w:val="231F20" w:themeColor="text1"/>
    </w:rPr>
    <w:tblPr>
      <w:tblStyleRowBandSize w:val="1"/>
      <w:tblStyleColBandSize w:val="1"/>
      <w:tblBorders>
        <w:top w:val="single" w:color="807276" w:themeColor="text1" w:themeTint="99" w:sz="4" w:space="0"/>
        <w:left w:val="single" w:color="807276" w:themeColor="text1" w:themeTint="99" w:sz="4" w:space="0"/>
        <w:bottom w:val="single" w:color="807276" w:themeColor="text1" w:themeTint="99" w:sz="4" w:space="0"/>
        <w:right w:val="single" w:color="807276" w:themeColor="text1" w:themeTint="99" w:sz="4" w:space="0"/>
        <w:insideH w:val="single" w:color="807276" w:themeColor="text1" w:themeTint="99" w:sz="4" w:space="0"/>
        <w:insideV w:val="single" w:color="80727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color="807276" w:themeColor="text1" w:themeTint="99" w:sz="4" w:space="0"/>
        </w:tcBorders>
      </w:tcPr>
    </w:tblStylePr>
    <w:tblStylePr w:type="nwCell">
      <w:tblPr/>
      <w:tcPr>
        <w:tcBorders>
          <w:bottom w:val="single" w:color="807276" w:themeColor="text1" w:themeTint="99" w:sz="4" w:space="0"/>
        </w:tcBorders>
      </w:tcPr>
    </w:tblStylePr>
    <w:tblStylePr w:type="seCell">
      <w:tblPr/>
      <w:tcPr>
        <w:tcBorders>
          <w:top w:val="single" w:color="807276" w:themeColor="text1" w:themeTint="99" w:sz="4" w:space="0"/>
        </w:tcBorders>
      </w:tcPr>
    </w:tblStylePr>
    <w:tblStylePr w:type="swCell">
      <w:tblPr/>
      <w:tcPr>
        <w:tcBorders>
          <w:top w:val="single" w:color="807276" w:themeColor="text1" w:themeTint="99" w:sz="4" w:space="0"/>
        </w:tcBorders>
      </w:tcPr>
    </w:tblStylePr>
  </w:style>
  <w:style w:type="table" w:styleId="GridTable7Colorful-Accent1">
    <w:name w:val="Grid Table 7 Colorful Accent 1"/>
    <w:basedOn w:val="TableNormal"/>
    <w:uiPriority w:val="52"/>
    <w:rsid w:val="00B60586"/>
    <w:pPr>
      <w:spacing w:line="240" w:lineRule="auto"/>
    </w:pPr>
    <w:rPr>
      <w:color w:val="47B2C0" w:themeColor="accent1" w:themeShade="BF"/>
    </w:rPr>
    <w:tblPr>
      <w:tblStyleRowBandSize w:val="1"/>
      <w:tblStyleColBandSize w:val="1"/>
      <w:tblBorders>
        <w:top w:val="single" w:color="B8E1E7" w:themeColor="accent1" w:themeTint="99" w:sz="4" w:space="0"/>
        <w:left w:val="single" w:color="B8E1E7" w:themeColor="accent1" w:themeTint="99" w:sz="4" w:space="0"/>
        <w:bottom w:val="single" w:color="B8E1E7" w:themeColor="accent1" w:themeTint="99" w:sz="4" w:space="0"/>
        <w:right w:val="single" w:color="B8E1E7" w:themeColor="accent1" w:themeTint="99" w:sz="4" w:space="0"/>
        <w:insideH w:val="single" w:color="B8E1E7" w:themeColor="accent1" w:themeTint="99" w:sz="4" w:space="0"/>
        <w:insideV w:val="single" w:color="B8E1E7"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color="B8E1E7" w:themeColor="accent1" w:themeTint="99" w:sz="4" w:space="0"/>
        </w:tcBorders>
      </w:tcPr>
    </w:tblStylePr>
    <w:tblStylePr w:type="nwCell">
      <w:tblPr/>
      <w:tcPr>
        <w:tcBorders>
          <w:bottom w:val="single" w:color="B8E1E7" w:themeColor="accent1" w:themeTint="99" w:sz="4" w:space="0"/>
        </w:tcBorders>
      </w:tcPr>
    </w:tblStylePr>
    <w:tblStylePr w:type="seCell">
      <w:tblPr/>
      <w:tcPr>
        <w:tcBorders>
          <w:top w:val="single" w:color="B8E1E7" w:themeColor="accent1" w:themeTint="99" w:sz="4" w:space="0"/>
        </w:tcBorders>
      </w:tcPr>
    </w:tblStylePr>
    <w:tblStylePr w:type="swCell">
      <w:tblPr/>
      <w:tcPr>
        <w:tcBorders>
          <w:top w:val="single" w:color="B8E1E7" w:themeColor="accent1" w:themeTint="99" w:sz="4" w:space="0"/>
        </w:tcBorders>
      </w:tcPr>
    </w:tblStylePr>
  </w:style>
  <w:style w:type="table" w:styleId="GridTable7Colorful-Accent2">
    <w:name w:val="Grid Table 7 Colorful Accent 2"/>
    <w:basedOn w:val="TableNormal"/>
    <w:uiPriority w:val="52"/>
    <w:rsid w:val="00B60586"/>
    <w:pPr>
      <w:spacing w:line="240" w:lineRule="auto"/>
    </w:pPr>
    <w:rPr>
      <w:color w:val="00254A" w:themeColor="accent2" w:themeShade="BF"/>
    </w:rPr>
    <w:tblPr>
      <w:tblStyleRowBandSize w:val="1"/>
      <w:tblStyleColBandSize w:val="1"/>
      <w:tblBorders>
        <w:top w:val="single" w:color="0884FF" w:themeColor="accent2" w:themeTint="99" w:sz="4" w:space="0"/>
        <w:left w:val="single" w:color="0884FF" w:themeColor="accent2" w:themeTint="99" w:sz="4" w:space="0"/>
        <w:bottom w:val="single" w:color="0884FF" w:themeColor="accent2" w:themeTint="99" w:sz="4" w:space="0"/>
        <w:right w:val="single" w:color="0884FF" w:themeColor="accent2" w:themeTint="99" w:sz="4" w:space="0"/>
        <w:insideH w:val="single" w:color="0884FF" w:themeColor="accent2" w:themeTint="99" w:sz="4" w:space="0"/>
        <w:insideV w:val="single" w:color="0884FF"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color="0884FF" w:themeColor="accent2" w:themeTint="99" w:sz="4" w:space="0"/>
        </w:tcBorders>
      </w:tcPr>
    </w:tblStylePr>
    <w:tblStylePr w:type="nwCell">
      <w:tblPr/>
      <w:tcPr>
        <w:tcBorders>
          <w:bottom w:val="single" w:color="0884FF" w:themeColor="accent2" w:themeTint="99" w:sz="4" w:space="0"/>
        </w:tcBorders>
      </w:tcPr>
    </w:tblStylePr>
    <w:tblStylePr w:type="seCell">
      <w:tblPr/>
      <w:tcPr>
        <w:tcBorders>
          <w:top w:val="single" w:color="0884FF" w:themeColor="accent2" w:themeTint="99" w:sz="4" w:space="0"/>
        </w:tcBorders>
      </w:tcPr>
    </w:tblStylePr>
    <w:tblStylePr w:type="swCell">
      <w:tblPr/>
      <w:tcPr>
        <w:tcBorders>
          <w:top w:val="single" w:color="0884FF" w:themeColor="accent2" w:themeTint="99" w:sz="4" w:space="0"/>
        </w:tcBorders>
      </w:tcPr>
    </w:tblStylePr>
  </w:style>
  <w:style w:type="table" w:styleId="GridTable7Colorful-Accent3">
    <w:name w:val="Grid Table 7 Colorful Accent 3"/>
    <w:basedOn w:val="TableNormal"/>
    <w:uiPriority w:val="52"/>
    <w:rsid w:val="00B60586"/>
    <w:pPr>
      <w:spacing w:line="240" w:lineRule="auto"/>
    </w:pPr>
    <w:rPr>
      <w:color w:val="C72D0E" w:themeColor="accent3" w:themeShade="BF"/>
    </w:rPr>
    <w:tblPr>
      <w:tblStyleRowBandSize w:val="1"/>
      <w:tblStyleColBandSize w:val="1"/>
      <w:tblBorders>
        <w:top w:val="single" w:color="F69481" w:themeColor="accent3" w:themeTint="99" w:sz="4" w:space="0"/>
        <w:left w:val="single" w:color="F69481" w:themeColor="accent3" w:themeTint="99" w:sz="4" w:space="0"/>
        <w:bottom w:val="single" w:color="F69481" w:themeColor="accent3" w:themeTint="99" w:sz="4" w:space="0"/>
        <w:right w:val="single" w:color="F69481" w:themeColor="accent3" w:themeTint="99" w:sz="4" w:space="0"/>
        <w:insideH w:val="single" w:color="F69481" w:themeColor="accent3" w:themeTint="99" w:sz="4" w:space="0"/>
        <w:insideV w:val="single" w:color="F69481"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color="F69481" w:themeColor="accent3" w:themeTint="99" w:sz="4" w:space="0"/>
        </w:tcBorders>
      </w:tcPr>
    </w:tblStylePr>
    <w:tblStylePr w:type="nwCell">
      <w:tblPr/>
      <w:tcPr>
        <w:tcBorders>
          <w:bottom w:val="single" w:color="F69481" w:themeColor="accent3" w:themeTint="99" w:sz="4" w:space="0"/>
        </w:tcBorders>
      </w:tcPr>
    </w:tblStylePr>
    <w:tblStylePr w:type="seCell">
      <w:tblPr/>
      <w:tcPr>
        <w:tcBorders>
          <w:top w:val="single" w:color="F69481" w:themeColor="accent3" w:themeTint="99" w:sz="4" w:space="0"/>
        </w:tcBorders>
      </w:tcPr>
    </w:tblStylePr>
    <w:tblStylePr w:type="swCell">
      <w:tblPr/>
      <w:tcPr>
        <w:tcBorders>
          <w:top w:val="single" w:color="F69481" w:themeColor="accent3" w:themeTint="99" w:sz="4" w:space="0"/>
        </w:tcBorders>
      </w:tcPr>
    </w:tblStylePr>
  </w:style>
  <w:style w:type="table" w:styleId="GridTable7Colorful-Accent4">
    <w:name w:val="Grid Table 7 Colorful Accent 4"/>
    <w:basedOn w:val="TableNormal"/>
    <w:uiPriority w:val="52"/>
    <w:rsid w:val="00B60586"/>
    <w:pPr>
      <w:spacing w:line="240" w:lineRule="auto"/>
    </w:pPr>
    <w:rPr>
      <w:color w:val="36947B" w:themeColor="accent4" w:themeShade="BF"/>
    </w:rPr>
    <w:tblPr>
      <w:tblStyleRowBandSize w:val="1"/>
      <w:tblStyleColBandSize w:val="1"/>
      <w:tblBorders>
        <w:top w:val="single" w:color="95D8C7" w:themeColor="accent4" w:themeTint="99" w:sz="4" w:space="0"/>
        <w:left w:val="single" w:color="95D8C7" w:themeColor="accent4" w:themeTint="99" w:sz="4" w:space="0"/>
        <w:bottom w:val="single" w:color="95D8C7" w:themeColor="accent4" w:themeTint="99" w:sz="4" w:space="0"/>
        <w:right w:val="single" w:color="95D8C7" w:themeColor="accent4" w:themeTint="99" w:sz="4" w:space="0"/>
        <w:insideH w:val="single" w:color="95D8C7" w:themeColor="accent4" w:themeTint="99" w:sz="4" w:space="0"/>
        <w:insideV w:val="single" w:color="95D8C7"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color="95D8C7" w:themeColor="accent4" w:themeTint="99" w:sz="4" w:space="0"/>
        </w:tcBorders>
      </w:tcPr>
    </w:tblStylePr>
    <w:tblStylePr w:type="nwCell">
      <w:tblPr/>
      <w:tcPr>
        <w:tcBorders>
          <w:bottom w:val="single" w:color="95D8C7" w:themeColor="accent4" w:themeTint="99" w:sz="4" w:space="0"/>
        </w:tcBorders>
      </w:tcPr>
    </w:tblStylePr>
    <w:tblStylePr w:type="seCell">
      <w:tblPr/>
      <w:tcPr>
        <w:tcBorders>
          <w:top w:val="single" w:color="95D8C7" w:themeColor="accent4" w:themeTint="99" w:sz="4" w:space="0"/>
        </w:tcBorders>
      </w:tcPr>
    </w:tblStylePr>
    <w:tblStylePr w:type="swCell">
      <w:tblPr/>
      <w:tcPr>
        <w:tcBorders>
          <w:top w:val="single" w:color="95D8C7" w:themeColor="accent4" w:themeTint="99" w:sz="4" w:space="0"/>
        </w:tcBorders>
      </w:tcPr>
    </w:tblStylePr>
  </w:style>
  <w:style w:type="table" w:styleId="GridTable7Colorful-Accent5">
    <w:name w:val="Grid Table 7 Colorful Accent 5"/>
    <w:basedOn w:val="TableNormal"/>
    <w:uiPriority w:val="52"/>
    <w:rsid w:val="00B60586"/>
    <w:pPr>
      <w:spacing w:line="240" w:lineRule="auto"/>
    </w:pPr>
    <w:rPr>
      <w:color w:val="744881" w:themeColor="accent5" w:themeShade="BF"/>
    </w:rPr>
    <w:tblPr>
      <w:tblStyleRowBandSize w:val="1"/>
      <w:tblStyleColBandSize w:val="1"/>
      <w:tblBorders>
        <w:top w:val="single" w:color="C2A1CB" w:themeColor="accent5" w:themeTint="99" w:sz="4" w:space="0"/>
        <w:left w:val="single" w:color="C2A1CB" w:themeColor="accent5" w:themeTint="99" w:sz="4" w:space="0"/>
        <w:bottom w:val="single" w:color="C2A1CB" w:themeColor="accent5" w:themeTint="99" w:sz="4" w:space="0"/>
        <w:right w:val="single" w:color="C2A1CB" w:themeColor="accent5" w:themeTint="99" w:sz="4" w:space="0"/>
        <w:insideH w:val="single" w:color="C2A1CB" w:themeColor="accent5" w:themeTint="99" w:sz="4" w:space="0"/>
        <w:insideV w:val="single" w:color="C2A1CB"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color="C2A1CB" w:themeColor="accent5" w:themeTint="99" w:sz="4" w:space="0"/>
        </w:tcBorders>
      </w:tcPr>
    </w:tblStylePr>
    <w:tblStylePr w:type="nwCell">
      <w:tblPr/>
      <w:tcPr>
        <w:tcBorders>
          <w:bottom w:val="single" w:color="C2A1CB" w:themeColor="accent5" w:themeTint="99" w:sz="4" w:space="0"/>
        </w:tcBorders>
      </w:tcPr>
    </w:tblStylePr>
    <w:tblStylePr w:type="seCell">
      <w:tblPr/>
      <w:tcPr>
        <w:tcBorders>
          <w:top w:val="single" w:color="C2A1CB" w:themeColor="accent5" w:themeTint="99" w:sz="4" w:space="0"/>
        </w:tcBorders>
      </w:tcPr>
    </w:tblStylePr>
    <w:tblStylePr w:type="swCell">
      <w:tblPr/>
      <w:tcPr>
        <w:tcBorders>
          <w:top w:val="single" w:color="C2A1CB" w:themeColor="accent5" w:themeTint="99" w:sz="4" w:space="0"/>
        </w:tcBorders>
      </w:tcPr>
    </w:tblStylePr>
  </w:style>
  <w:style w:type="table" w:styleId="GridTable7Colorful-Accent6">
    <w:name w:val="Grid Table 7 Colorful Accent 6"/>
    <w:basedOn w:val="TableNormal"/>
    <w:uiPriority w:val="52"/>
    <w:rsid w:val="00B60586"/>
    <w:pPr>
      <w:spacing w:line="240" w:lineRule="auto"/>
    </w:pPr>
    <w:rPr>
      <w:color w:val="FFB309" w:themeColor="accent6" w:themeShade="BF"/>
    </w:rPr>
    <w:tblPr>
      <w:tblStyleRowBandSize w:val="1"/>
      <w:tblStyleColBandSize w:val="1"/>
      <w:tblBorders>
        <w:top w:val="single" w:color="FFE2A0" w:themeColor="accent6" w:themeTint="99" w:sz="4" w:space="0"/>
        <w:left w:val="single" w:color="FFE2A0" w:themeColor="accent6" w:themeTint="99" w:sz="4" w:space="0"/>
        <w:bottom w:val="single" w:color="FFE2A0" w:themeColor="accent6" w:themeTint="99" w:sz="4" w:space="0"/>
        <w:right w:val="single" w:color="FFE2A0" w:themeColor="accent6" w:themeTint="99" w:sz="4" w:space="0"/>
        <w:insideH w:val="single" w:color="FFE2A0" w:themeColor="accent6" w:themeTint="99" w:sz="4" w:space="0"/>
        <w:insideV w:val="single" w:color="FFE2A0"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color="FFE2A0" w:themeColor="accent6" w:themeTint="99" w:sz="4" w:space="0"/>
        </w:tcBorders>
      </w:tcPr>
    </w:tblStylePr>
    <w:tblStylePr w:type="nwCell">
      <w:tblPr/>
      <w:tcPr>
        <w:tcBorders>
          <w:bottom w:val="single" w:color="FFE2A0" w:themeColor="accent6" w:themeTint="99" w:sz="4" w:space="0"/>
        </w:tcBorders>
      </w:tcPr>
    </w:tblStylePr>
    <w:tblStylePr w:type="seCell">
      <w:tblPr/>
      <w:tcPr>
        <w:tcBorders>
          <w:top w:val="single" w:color="FFE2A0" w:themeColor="accent6" w:themeTint="99" w:sz="4" w:space="0"/>
        </w:tcBorders>
      </w:tcPr>
    </w:tblStylePr>
    <w:tblStylePr w:type="swCell">
      <w:tblPr/>
      <w:tcPr>
        <w:tcBorders>
          <w:top w:val="single" w:color="FFE2A0" w:themeColor="accent6" w:themeTint="99" w:sz="4" w:space="0"/>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color="231F20" w:themeColor="text1" w:sz="8" w:space="0"/>
        <w:left w:val="single" w:color="231F20" w:themeColor="text1" w:sz="8" w:space="0"/>
        <w:bottom w:val="single" w:color="231F20" w:themeColor="text1" w:sz="8" w:space="0"/>
        <w:right w:val="single" w:color="231F20" w:themeColor="text1" w:sz="8" w:space="0"/>
        <w:insideH w:val="single" w:color="231F20" w:themeColor="text1" w:sz="8" w:space="0"/>
        <w:insideV w:val="single" w:color="231F2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231F20" w:themeColor="text1" w:sz="8" w:space="0"/>
          <w:left w:val="single" w:color="231F20" w:themeColor="text1" w:sz="8" w:space="0"/>
          <w:bottom w:val="single" w:color="231F20" w:themeColor="text1" w:sz="18" w:space="0"/>
          <w:right w:val="single" w:color="231F20" w:themeColor="text1" w:sz="8" w:space="0"/>
          <w:insideH w:val="nil"/>
          <w:insideV w:val="single" w:color="231F2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231F20" w:themeColor="text1" w:sz="6" w:space="0"/>
          <w:left w:val="single" w:color="231F20" w:themeColor="text1" w:sz="8" w:space="0"/>
          <w:bottom w:val="single" w:color="231F20" w:themeColor="text1" w:sz="8" w:space="0"/>
          <w:right w:val="single" w:color="231F20" w:themeColor="text1" w:sz="8" w:space="0"/>
          <w:insideH w:val="nil"/>
          <w:insideV w:val="single" w:color="231F2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231F20" w:themeColor="text1" w:sz="8" w:space="0"/>
          <w:left w:val="single" w:color="231F20" w:themeColor="text1" w:sz="8" w:space="0"/>
          <w:bottom w:val="single" w:color="231F20" w:themeColor="text1" w:sz="8" w:space="0"/>
          <w:right w:val="single" w:color="231F20" w:themeColor="text1" w:sz="8" w:space="0"/>
        </w:tcBorders>
      </w:tcPr>
    </w:tblStylePr>
    <w:tblStylePr w:type="band1Vert">
      <w:tblPr/>
      <w:tcPr>
        <w:tcBorders>
          <w:top w:val="single" w:color="231F20" w:themeColor="text1" w:sz="8" w:space="0"/>
          <w:left w:val="single" w:color="231F20" w:themeColor="text1" w:sz="8" w:space="0"/>
          <w:bottom w:val="single" w:color="231F20" w:themeColor="text1" w:sz="8" w:space="0"/>
          <w:right w:val="single" w:color="231F20" w:themeColor="text1" w:sz="8" w:space="0"/>
        </w:tcBorders>
        <w:shd w:val="clear" w:color="auto" w:fill="CBC4C6" w:themeFill="text1" w:themeFillTint="3F"/>
      </w:tcPr>
    </w:tblStylePr>
    <w:tblStylePr w:type="band1Horz">
      <w:tblPr/>
      <w:tcPr>
        <w:tcBorders>
          <w:top w:val="single" w:color="231F20" w:themeColor="text1" w:sz="8" w:space="0"/>
          <w:left w:val="single" w:color="231F20" w:themeColor="text1" w:sz="8" w:space="0"/>
          <w:bottom w:val="single" w:color="231F20" w:themeColor="text1" w:sz="8" w:space="0"/>
          <w:right w:val="single" w:color="231F20" w:themeColor="text1" w:sz="8" w:space="0"/>
          <w:insideV w:val="single" w:color="231F20" w:themeColor="text1" w:sz="8" w:space="0"/>
        </w:tcBorders>
        <w:shd w:val="clear" w:color="auto" w:fill="CBC4C6" w:themeFill="text1" w:themeFillTint="3F"/>
      </w:tcPr>
    </w:tblStylePr>
    <w:tblStylePr w:type="band2Horz">
      <w:tblPr/>
      <w:tcPr>
        <w:tcBorders>
          <w:top w:val="single" w:color="231F20" w:themeColor="text1" w:sz="8" w:space="0"/>
          <w:left w:val="single" w:color="231F20" w:themeColor="text1" w:sz="8" w:space="0"/>
          <w:bottom w:val="single" w:color="231F20" w:themeColor="text1" w:sz="8" w:space="0"/>
          <w:right w:val="single" w:color="231F20" w:themeColor="text1" w:sz="8" w:space="0"/>
          <w:insideV w:val="single" w:color="231F20" w:themeColor="text1" w:sz="8" w:space="0"/>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color="8ACED7" w:themeColor="accent1" w:sz="8" w:space="0"/>
        <w:left w:val="single" w:color="8ACED7" w:themeColor="accent1" w:sz="8" w:space="0"/>
        <w:bottom w:val="single" w:color="8ACED7" w:themeColor="accent1" w:sz="8" w:space="0"/>
        <w:right w:val="single" w:color="8ACED7" w:themeColor="accent1" w:sz="8" w:space="0"/>
        <w:insideH w:val="single" w:color="8ACED7" w:themeColor="accent1" w:sz="8" w:space="0"/>
        <w:insideV w:val="single" w:color="8ACED7"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ACED7" w:themeColor="accent1" w:sz="8" w:space="0"/>
          <w:left w:val="single" w:color="8ACED7" w:themeColor="accent1" w:sz="8" w:space="0"/>
          <w:bottom w:val="single" w:color="8ACED7" w:themeColor="accent1" w:sz="18" w:space="0"/>
          <w:right w:val="single" w:color="8ACED7" w:themeColor="accent1" w:sz="8" w:space="0"/>
          <w:insideH w:val="nil"/>
          <w:insideV w:val="single" w:color="8ACED7"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ACED7" w:themeColor="accent1" w:sz="6" w:space="0"/>
          <w:left w:val="single" w:color="8ACED7" w:themeColor="accent1" w:sz="8" w:space="0"/>
          <w:bottom w:val="single" w:color="8ACED7" w:themeColor="accent1" w:sz="8" w:space="0"/>
          <w:right w:val="single" w:color="8ACED7" w:themeColor="accent1" w:sz="8" w:space="0"/>
          <w:insideH w:val="nil"/>
          <w:insideV w:val="single" w:color="8ACED7"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ACED7" w:themeColor="accent1" w:sz="8" w:space="0"/>
          <w:left w:val="single" w:color="8ACED7" w:themeColor="accent1" w:sz="8" w:space="0"/>
          <w:bottom w:val="single" w:color="8ACED7" w:themeColor="accent1" w:sz="8" w:space="0"/>
          <w:right w:val="single" w:color="8ACED7" w:themeColor="accent1" w:sz="8" w:space="0"/>
        </w:tcBorders>
      </w:tcPr>
    </w:tblStylePr>
    <w:tblStylePr w:type="band1Vert">
      <w:tblPr/>
      <w:tcPr>
        <w:tcBorders>
          <w:top w:val="single" w:color="8ACED7" w:themeColor="accent1" w:sz="8" w:space="0"/>
          <w:left w:val="single" w:color="8ACED7" w:themeColor="accent1" w:sz="8" w:space="0"/>
          <w:bottom w:val="single" w:color="8ACED7" w:themeColor="accent1" w:sz="8" w:space="0"/>
          <w:right w:val="single" w:color="8ACED7" w:themeColor="accent1" w:sz="8" w:space="0"/>
        </w:tcBorders>
        <w:shd w:val="clear" w:color="auto" w:fill="E1F2F5" w:themeFill="accent1" w:themeFillTint="3F"/>
      </w:tcPr>
    </w:tblStylePr>
    <w:tblStylePr w:type="band1Horz">
      <w:tblPr/>
      <w:tcPr>
        <w:tcBorders>
          <w:top w:val="single" w:color="8ACED7" w:themeColor="accent1" w:sz="8" w:space="0"/>
          <w:left w:val="single" w:color="8ACED7" w:themeColor="accent1" w:sz="8" w:space="0"/>
          <w:bottom w:val="single" w:color="8ACED7" w:themeColor="accent1" w:sz="8" w:space="0"/>
          <w:right w:val="single" w:color="8ACED7" w:themeColor="accent1" w:sz="8" w:space="0"/>
          <w:insideV w:val="single" w:color="8ACED7" w:themeColor="accent1" w:sz="8" w:space="0"/>
        </w:tcBorders>
        <w:shd w:val="clear" w:color="auto" w:fill="E1F2F5" w:themeFill="accent1" w:themeFillTint="3F"/>
      </w:tcPr>
    </w:tblStylePr>
    <w:tblStylePr w:type="band2Horz">
      <w:tblPr/>
      <w:tcPr>
        <w:tcBorders>
          <w:top w:val="single" w:color="8ACED7" w:themeColor="accent1" w:sz="8" w:space="0"/>
          <w:left w:val="single" w:color="8ACED7" w:themeColor="accent1" w:sz="8" w:space="0"/>
          <w:bottom w:val="single" w:color="8ACED7" w:themeColor="accent1" w:sz="8" w:space="0"/>
          <w:right w:val="single" w:color="8ACED7" w:themeColor="accent1" w:sz="8" w:space="0"/>
          <w:insideV w:val="single" w:color="8ACED7" w:themeColor="accent1" w:sz="8" w:space="0"/>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color="003263" w:themeColor="accent2" w:sz="8" w:space="0"/>
        <w:left w:val="single" w:color="003263" w:themeColor="accent2" w:sz="8" w:space="0"/>
        <w:bottom w:val="single" w:color="003263" w:themeColor="accent2" w:sz="8" w:space="0"/>
        <w:right w:val="single" w:color="003263" w:themeColor="accent2" w:sz="8" w:space="0"/>
        <w:insideH w:val="single" w:color="003263" w:themeColor="accent2" w:sz="8" w:space="0"/>
        <w:insideV w:val="single" w:color="003263"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3263" w:themeColor="accent2" w:sz="8" w:space="0"/>
          <w:left w:val="single" w:color="003263" w:themeColor="accent2" w:sz="8" w:space="0"/>
          <w:bottom w:val="single" w:color="003263" w:themeColor="accent2" w:sz="18" w:space="0"/>
          <w:right w:val="single" w:color="003263" w:themeColor="accent2" w:sz="8" w:space="0"/>
          <w:insideH w:val="nil"/>
          <w:insideV w:val="single" w:color="003263"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3263" w:themeColor="accent2" w:sz="6" w:space="0"/>
          <w:left w:val="single" w:color="003263" w:themeColor="accent2" w:sz="8" w:space="0"/>
          <w:bottom w:val="single" w:color="003263" w:themeColor="accent2" w:sz="8" w:space="0"/>
          <w:right w:val="single" w:color="003263" w:themeColor="accent2" w:sz="8" w:space="0"/>
          <w:insideH w:val="nil"/>
          <w:insideV w:val="single" w:color="003263"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3263" w:themeColor="accent2" w:sz="8" w:space="0"/>
          <w:left w:val="single" w:color="003263" w:themeColor="accent2" w:sz="8" w:space="0"/>
          <w:bottom w:val="single" w:color="003263" w:themeColor="accent2" w:sz="8" w:space="0"/>
          <w:right w:val="single" w:color="003263" w:themeColor="accent2" w:sz="8" w:space="0"/>
        </w:tcBorders>
      </w:tcPr>
    </w:tblStylePr>
    <w:tblStylePr w:type="band1Vert">
      <w:tblPr/>
      <w:tcPr>
        <w:tcBorders>
          <w:top w:val="single" w:color="003263" w:themeColor="accent2" w:sz="8" w:space="0"/>
          <w:left w:val="single" w:color="003263" w:themeColor="accent2" w:sz="8" w:space="0"/>
          <w:bottom w:val="single" w:color="003263" w:themeColor="accent2" w:sz="8" w:space="0"/>
          <w:right w:val="single" w:color="003263" w:themeColor="accent2" w:sz="8" w:space="0"/>
        </w:tcBorders>
        <w:shd w:val="clear" w:color="auto" w:fill="99CCFF" w:themeFill="accent2" w:themeFillTint="3F"/>
      </w:tcPr>
    </w:tblStylePr>
    <w:tblStylePr w:type="band1Horz">
      <w:tblPr/>
      <w:tcPr>
        <w:tcBorders>
          <w:top w:val="single" w:color="003263" w:themeColor="accent2" w:sz="8" w:space="0"/>
          <w:left w:val="single" w:color="003263" w:themeColor="accent2" w:sz="8" w:space="0"/>
          <w:bottom w:val="single" w:color="003263" w:themeColor="accent2" w:sz="8" w:space="0"/>
          <w:right w:val="single" w:color="003263" w:themeColor="accent2" w:sz="8" w:space="0"/>
          <w:insideV w:val="single" w:color="003263" w:themeColor="accent2" w:sz="8" w:space="0"/>
        </w:tcBorders>
        <w:shd w:val="clear" w:color="auto" w:fill="99CCFF" w:themeFill="accent2" w:themeFillTint="3F"/>
      </w:tcPr>
    </w:tblStylePr>
    <w:tblStylePr w:type="band2Horz">
      <w:tblPr/>
      <w:tcPr>
        <w:tcBorders>
          <w:top w:val="single" w:color="003263" w:themeColor="accent2" w:sz="8" w:space="0"/>
          <w:left w:val="single" w:color="003263" w:themeColor="accent2" w:sz="8" w:space="0"/>
          <w:bottom w:val="single" w:color="003263" w:themeColor="accent2" w:sz="8" w:space="0"/>
          <w:right w:val="single" w:color="003263" w:themeColor="accent2" w:sz="8" w:space="0"/>
          <w:insideV w:val="single" w:color="003263" w:themeColor="accent2" w:sz="8" w:space="0"/>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color="F04E2D" w:themeColor="accent3" w:sz="8" w:space="0"/>
        <w:left w:val="single" w:color="F04E2D" w:themeColor="accent3" w:sz="8" w:space="0"/>
        <w:bottom w:val="single" w:color="F04E2D" w:themeColor="accent3" w:sz="8" w:space="0"/>
        <w:right w:val="single" w:color="F04E2D" w:themeColor="accent3" w:sz="8" w:space="0"/>
        <w:insideH w:val="single" w:color="F04E2D" w:themeColor="accent3" w:sz="8" w:space="0"/>
        <w:insideV w:val="single" w:color="F04E2D"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04E2D" w:themeColor="accent3" w:sz="8" w:space="0"/>
          <w:left w:val="single" w:color="F04E2D" w:themeColor="accent3" w:sz="8" w:space="0"/>
          <w:bottom w:val="single" w:color="F04E2D" w:themeColor="accent3" w:sz="18" w:space="0"/>
          <w:right w:val="single" w:color="F04E2D" w:themeColor="accent3" w:sz="8" w:space="0"/>
          <w:insideH w:val="nil"/>
          <w:insideV w:val="single" w:color="F04E2D"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04E2D" w:themeColor="accent3" w:sz="6" w:space="0"/>
          <w:left w:val="single" w:color="F04E2D" w:themeColor="accent3" w:sz="8" w:space="0"/>
          <w:bottom w:val="single" w:color="F04E2D" w:themeColor="accent3" w:sz="8" w:space="0"/>
          <w:right w:val="single" w:color="F04E2D" w:themeColor="accent3" w:sz="8" w:space="0"/>
          <w:insideH w:val="nil"/>
          <w:insideV w:val="single" w:color="F04E2D"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04E2D" w:themeColor="accent3" w:sz="8" w:space="0"/>
          <w:left w:val="single" w:color="F04E2D" w:themeColor="accent3" w:sz="8" w:space="0"/>
          <w:bottom w:val="single" w:color="F04E2D" w:themeColor="accent3" w:sz="8" w:space="0"/>
          <w:right w:val="single" w:color="F04E2D" w:themeColor="accent3" w:sz="8" w:space="0"/>
        </w:tcBorders>
      </w:tcPr>
    </w:tblStylePr>
    <w:tblStylePr w:type="band1Vert">
      <w:tblPr/>
      <w:tcPr>
        <w:tcBorders>
          <w:top w:val="single" w:color="F04E2D" w:themeColor="accent3" w:sz="8" w:space="0"/>
          <w:left w:val="single" w:color="F04E2D" w:themeColor="accent3" w:sz="8" w:space="0"/>
          <w:bottom w:val="single" w:color="F04E2D" w:themeColor="accent3" w:sz="8" w:space="0"/>
          <w:right w:val="single" w:color="F04E2D" w:themeColor="accent3" w:sz="8" w:space="0"/>
        </w:tcBorders>
        <w:shd w:val="clear" w:color="auto" w:fill="FBD3CB" w:themeFill="accent3" w:themeFillTint="3F"/>
      </w:tcPr>
    </w:tblStylePr>
    <w:tblStylePr w:type="band1Horz">
      <w:tblPr/>
      <w:tcPr>
        <w:tcBorders>
          <w:top w:val="single" w:color="F04E2D" w:themeColor="accent3" w:sz="8" w:space="0"/>
          <w:left w:val="single" w:color="F04E2D" w:themeColor="accent3" w:sz="8" w:space="0"/>
          <w:bottom w:val="single" w:color="F04E2D" w:themeColor="accent3" w:sz="8" w:space="0"/>
          <w:right w:val="single" w:color="F04E2D" w:themeColor="accent3" w:sz="8" w:space="0"/>
          <w:insideV w:val="single" w:color="F04E2D" w:themeColor="accent3" w:sz="8" w:space="0"/>
        </w:tcBorders>
        <w:shd w:val="clear" w:color="auto" w:fill="FBD3CB" w:themeFill="accent3" w:themeFillTint="3F"/>
      </w:tcPr>
    </w:tblStylePr>
    <w:tblStylePr w:type="band2Horz">
      <w:tblPr/>
      <w:tcPr>
        <w:tcBorders>
          <w:top w:val="single" w:color="F04E2D" w:themeColor="accent3" w:sz="8" w:space="0"/>
          <w:left w:val="single" w:color="F04E2D" w:themeColor="accent3" w:sz="8" w:space="0"/>
          <w:bottom w:val="single" w:color="F04E2D" w:themeColor="accent3" w:sz="8" w:space="0"/>
          <w:right w:val="single" w:color="F04E2D" w:themeColor="accent3" w:sz="8" w:space="0"/>
          <w:insideV w:val="single" w:color="F04E2D" w:themeColor="accent3" w:sz="8" w:space="0"/>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color="50BFA2" w:themeColor="accent4" w:sz="8" w:space="0"/>
        <w:left w:val="single" w:color="50BFA2" w:themeColor="accent4" w:sz="8" w:space="0"/>
        <w:bottom w:val="single" w:color="50BFA2" w:themeColor="accent4" w:sz="8" w:space="0"/>
        <w:right w:val="single" w:color="50BFA2" w:themeColor="accent4" w:sz="8" w:space="0"/>
        <w:insideH w:val="single" w:color="50BFA2" w:themeColor="accent4" w:sz="8" w:space="0"/>
        <w:insideV w:val="single" w:color="50BF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50BFA2" w:themeColor="accent4" w:sz="8" w:space="0"/>
          <w:left w:val="single" w:color="50BFA2" w:themeColor="accent4" w:sz="8" w:space="0"/>
          <w:bottom w:val="single" w:color="50BFA2" w:themeColor="accent4" w:sz="18" w:space="0"/>
          <w:right w:val="single" w:color="50BFA2" w:themeColor="accent4" w:sz="8" w:space="0"/>
          <w:insideH w:val="nil"/>
          <w:insideV w:val="single" w:color="50BF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50BFA2" w:themeColor="accent4" w:sz="6" w:space="0"/>
          <w:left w:val="single" w:color="50BFA2" w:themeColor="accent4" w:sz="8" w:space="0"/>
          <w:bottom w:val="single" w:color="50BFA2" w:themeColor="accent4" w:sz="8" w:space="0"/>
          <w:right w:val="single" w:color="50BFA2" w:themeColor="accent4" w:sz="8" w:space="0"/>
          <w:insideH w:val="nil"/>
          <w:insideV w:val="single" w:color="50BFA2"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50BFA2" w:themeColor="accent4" w:sz="8" w:space="0"/>
          <w:left w:val="single" w:color="50BFA2" w:themeColor="accent4" w:sz="8" w:space="0"/>
          <w:bottom w:val="single" w:color="50BFA2" w:themeColor="accent4" w:sz="8" w:space="0"/>
          <w:right w:val="single" w:color="50BFA2" w:themeColor="accent4" w:sz="8" w:space="0"/>
        </w:tcBorders>
      </w:tcPr>
    </w:tblStylePr>
    <w:tblStylePr w:type="band1Vert">
      <w:tblPr/>
      <w:tcPr>
        <w:tcBorders>
          <w:top w:val="single" w:color="50BFA2" w:themeColor="accent4" w:sz="8" w:space="0"/>
          <w:left w:val="single" w:color="50BFA2" w:themeColor="accent4" w:sz="8" w:space="0"/>
          <w:bottom w:val="single" w:color="50BFA2" w:themeColor="accent4" w:sz="8" w:space="0"/>
          <w:right w:val="single" w:color="50BFA2" w:themeColor="accent4" w:sz="8" w:space="0"/>
        </w:tcBorders>
        <w:shd w:val="clear" w:color="auto" w:fill="D3EFE7" w:themeFill="accent4" w:themeFillTint="3F"/>
      </w:tcPr>
    </w:tblStylePr>
    <w:tblStylePr w:type="band1Horz">
      <w:tblPr/>
      <w:tcPr>
        <w:tcBorders>
          <w:top w:val="single" w:color="50BFA2" w:themeColor="accent4" w:sz="8" w:space="0"/>
          <w:left w:val="single" w:color="50BFA2" w:themeColor="accent4" w:sz="8" w:space="0"/>
          <w:bottom w:val="single" w:color="50BFA2" w:themeColor="accent4" w:sz="8" w:space="0"/>
          <w:right w:val="single" w:color="50BFA2" w:themeColor="accent4" w:sz="8" w:space="0"/>
          <w:insideV w:val="single" w:color="50BFA2" w:themeColor="accent4" w:sz="8" w:space="0"/>
        </w:tcBorders>
        <w:shd w:val="clear" w:color="auto" w:fill="D3EFE7" w:themeFill="accent4" w:themeFillTint="3F"/>
      </w:tcPr>
    </w:tblStylePr>
    <w:tblStylePr w:type="band2Horz">
      <w:tblPr/>
      <w:tcPr>
        <w:tcBorders>
          <w:top w:val="single" w:color="50BFA2" w:themeColor="accent4" w:sz="8" w:space="0"/>
          <w:left w:val="single" w:color="50BFA2" w:themeColor="accent4" w:sz="8" w:space="0"/>
          <w:bottom w:val="single" w:color="50BFA2" w:themeColor="accent4" w:sz="8" w:space="0"/>
          <w:right w:val="single" w:color="50BFA2" w:themeColor="accent4" w:sz="8" w:space="0"/>
          <w:insideV w:val="single" w:color="50BFA2" w:themeColor="accent4" w:sz="8" w:space="0"/>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color="9A64A9" w:themeColor="accent5" w:sz="8" w:space="0"/>
        <w:left w:val="single" w:color="9A64A9" w:themeColor="accent5" w:sz="8" w:space="0"/>
        <w:bottom w:val="single" w:color="9A64A9" w:themeColor="accent5" w:sz="8" w:space="0"/>
        <w:right w:val="single" w:color="9A64A9" w:themeColor="accent5" w:sz="8" w:space="0"/>
        <w:insideH w:val="single" w:color="9A64A9" w:themeColor="accent5" w:sz="8" w:space="0"/>
        <w:insideV w:val="single" w:color="9A64A9"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A64A9" w:themeColor="accent5" w:sz="8" w:space="0"/>
          <w:left w:val="single" w:color="9A64A9" w:themeColor="accent5" w:sz="8" w:space="0"/>
          <w:bottom w:val="single" w:color="9A64A9" w:themeColor="accent5" w:sz="18" w:space="0"/>
          <w:right w:val="single" w:color="9A64A9" w:themeColor="accent5" w:sz="8" w:space="0"/>
          <w:insideH w:val="nil"/>
          <w:insideV w:val="single" w:color="9A64A9"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A64A9" w:themeColor="accent5" w:sz="6" w:space="0"/>
          <w:left w:val="single" w:color="9A64A9" w:themeColor="accent5" w:sz="8" w:space="0"/>
          <w:bottom w:val="single" w:color="9A64A9" w:themeColor="accent5" w:sz="8" w:space="0"/>
          <w:right w:val="single" w:color="9A64A9" w:themeColor="accent5" w:sz="8" w:space="0"/>
          <w:insideH w:val="nil"/>
          <w:insideV w:val="single" w:color="9A64A9"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A64A9" w:themeColor="accent5" w:sz="8" w:space="0"/>
          <w:left w:val="single" w:color="9A64A9" w:themeColor="accent5" w:sz="8" w:space="0"/>
          <w:bottom w:val="single" w:color="9A64A9" w:themeColor="accent5" w:sz="8" w:space="0"/>
          <w:right w:val="single" w:color="9A64A9" w:themeColor="accent5" w:sz="8" w:space="0"/>
        </w:tcBorders>
      </w:tcPr>
    </w:tblStylePr>
    <w:tblStylePr w:type="band1Vert">
      <w:tblPr/>
      <w:tcPr>
        <w:tcBorders>
          <w:top w:val="single" w:color="9A64A9" w:themeColor="accent5" w:sz="8" w:space="0"/>
          <w:left w:val="single" w:color="9A64A9" w:themeColor="accent5" w:sz="8" w:space="0"/>
          <w:bottom w:val="single" w:color="9A64A9" w:themeColor="accent5" w:sz="8" w:space="0"/>
          <w:right w:val="single" w:color="9A64A9" w:themeColor="accent5" w:sz="8" w:space="0"/>
        </w:tcBorders>
        <w:shd w:val="clear" w:color="auto" w:fill="E6D8E9" w:themeFill="accent5" w:themeFillTint="3F"/>
      </w:tcPr>
    </w:tblStylePr>
    <w:tblStylePr w:type="band1Horz">
      <w:tblPr/>
      <w:tcPr>
        <w:tcBorders>
          <w:top w:val="single" w:color="9A64A9" w:themeColor="accent5" w:sz="8" w:space="0"/>
          <w:left w:val="single" w:color="9A64A9" w:themeColor="accent5" w:sz="8" w:space="0"/>
          <w:bottom w:val="single" w:color="9A64A9" w:themeColor="accent5" w:sz="8" w:space="0"/>
          <w:right w:val="single" w:color="9A64A9" w:themeColor="accent5" w:sz="8" w:space="0"/>
          <w:insideV w:val="single" w:color="9A64A9" w:themeColor="accent5" w:sz="8" w:space="0"/>
        </w:tcBorders>
        <w:shd w:val="clear" w:color="auto" w:fill="E6D8E9" w:themeFill="accent5" w:themeFillTint="3F"/>
      </w:tcPr>
    </w:tblStylePr>
    <w:tblStylePr w:type="band2Horz">
      <w:tblPr/>
      <w:tcPr>
        <w:tcBorders>
          <w:top w:val="single" w:color="9A64A9" w:themeColor="accent5" w:sz="8" w:space="0"/>
          <w:left w:val="single" w:color="9A64A9" w:themeColor="accent5" w:sz="8" w:space="0"/>
          <w:bottom w:val="single" w:color="9A64A9" w:themeColor="accent5" w:sz="8" w:space="0"/>
          <w:right w:val="single" w:color="9A64A9" w:themeColor="accent5" w:sz="8" w:space="0"/>
          <w:insideV w:val="single" w:color="9A64A9" w:themeColor="accent5" w:sz="8" w:space="0"/>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color="FFCF62" w:themeColor="accent6" w:sz="8" w:space="0"/>
        <w:left w:val="single" w:color="FFCF62" w:themeColor="accent6" w:sz="8" w:space="0"/>
        <w:bottom w:val="single" w:color="FFCF62" w:themeColor="accent6" w:sz="8" w:space="0"/>
        <w:right w:val="single" w:color="FFCF62" w:themeColor="accent6" w:sz="8" w:space="0"/>
        <w:insideH w:val="single" w:color="FFCF62" w:themeColor="accent6" w:sz="8" w:space="0"/>
        <w:insideV w:val="single" w:color="FFCF62"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FCF62" w:themeColor="accent6" w:sz="8" w:space="0"/>
          <w:left w:val="single" w:color="FFCF62" w:themeColor="accent6" w:sz="8" w:space="0"/>
          <w:bottom w:val="single" w:color="FFCF62" w:themeColor="accent6" w:sz="18" w:space="0"/>
          <w:right w:val="single" w:color="FFCF62" w:themeColor="accent6" w:sz="8" w:space="0"/>
          <w:insideH w:val="nil"/>
          <w:insideV w:val="single" w:color="FFCF62"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CF62" w:themeColor="accent6" w:sz="6" w:space="0"/>
          <w:left w:val="single" w:color="FFCF62" w:themeColor="accent6" w:sz="8" w:space="0"/>
          <w:bottom w:val="single" w:color="FFCF62" w:themeColor="accent6" w:sz="8" w:space="0"/>
          <w:right w:val="single" w:color="FFCF62" w:themeColor="accent6" w:sz="8" w:space="0"/>
          <w:insideH w:val="nil"/>
          <w:insideV w:val="single" w:color="FFCF62"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FCF62" w:themeColor="accent6" w:sz="8" w:space="0"/>
          <w:left w:val="single" w:color="FFCF62" w:themeColor="accent6" w:sz="8" w:space="0"/>
          <w:bottom w:val="single" w:color="FFCF62" w:themeColor="accent6" w:sz="8" w:space="0"/>
          <w:right w:val="single" w:color="FFCF62" w:themeColor="accent6" w:sz="8" w:space="0"/>
        </w:tcBorders>
      </w:tcPr>
    </w:tblStylePr>
    <w:tblStylePr w:type="band1Vert">
      <w:tblPr/>
      <w:tcPr>
        <w:tcBorders>
          <w:top w:val="single" w:color="FFCF62" w:themeColor="accent6" w:sz="8" w:space="0"/>
          <w:left w:val="single" w:color="FFCF62" w:themeColor="accent6" w:sz="8" w:space="0"/>
          <w:bottom w:val="single" w:color="FFCF62" w:themeColor="accent6" w:sz="8" w:space="0"/>
          <w:right w:val="single" w:color="FFCF62" w:themeColor="accent6" w:sz="8" w:space="0"/>
        </w:tcBorders>
        <w:shd w:val="clear" w:color="auto" w:fill="FFF3D8" w:themeFill="accent6" w:themeFillTint="3F"/>
      </w:tcPr>
    </w:tblStylePr>
    <w:tblStylePr w:type="band1Horz">
      <w:tblPr/>
      <w:tcPr>
        <w:tcBorders>
          <w:top w:val="single" w:color="FFCF62" w:themeColor="accent6" w:sz="8" w:space="0"/>
          <w:left w:val="single" w:color="FFCF62" w:themeColor="accent6" w:sz="8" w:space="0"/>
          <w:bottom w:val="single" w:color="FFCF62" w:themeColor="accent6" w:sz="8" w:space="0"/>
          <w:right w:val="single" w:color="FFCF62" w:themeColor="accent6" w:sz="8" w:space="0"/>
          <w:insideV w:val="single" w:color="FFCF62" w:themeColor="accent6" w:sz="8" w:space="0"/>
        </w:tcBorders>
        <w:shd w:val="clear" w:color="auto" w:fill="FFF3D8" w:themeFill="accent6" w:themeFillTint="3F"/>
      </w:tcPr>
    </w:tblStylePr>
    <w:tblStylePr w:type="band2Horz">
      <w:tblPr/>
      <w:tcPr>
        <w:tcBorders>
          <w:top w:val="single" w:color="FFCF62" w:themeColor="accent6" w:sz="8" w:space="0"/>
          <w:left w:val="single" w:color="FFCF62" w:themeColor="accent6" w:sz="8" w:space="0"/>
          <w:bottom w:val="single" w:color="FFCF62" w:themeColor="accent6" w:sz="8" w:space="0"/>
          <w:right w:val="single" w:color="FFCF62" w:themeColor="accent6" w:sz="8" w:space="0"/>
          <w:insideV w:val="single" w:color="FFCF62" w:themeColor="accent6" w:sz="8" w:space="0"/>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color="231F20" w:themeColor="text1" w:sz="8" w:space="0"/>
        <w:left w:val="single" w:color="231F20" w:themeColor="text1" w:sz="8" w:space="0"/>
        <w:bottom w:val="single" w:color="231F20" w:themeColor="text1" w:sz="8" w:space="0"/>
        <w:right w:val="single" w:color="231F20" w:themeColor="text1" w:sz="8" w:space="0"/>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color="231F20" w:themeColor="text1" w:sz="6" w:space="0"/>
          <w:left w:val="single" w:color="231F20" w:themeColor="text1" w:sz="8" w:space="0"/>
          <w:bottom w:val="single" w:color="231F20" w:themeColor="text1" w:sz="8" w:space="0"/>
          <w:right w:val="single" w:color="231F20" w:themeColor="text1" w:sz="8" w:space="0"/>
        </w:tcBorders>
      </w:tcPr>
    </w:tblStylePr>
    <w:tblStylePr w:type="firstCol">
      <w:rPr>
        <w:b/>
        <w:bCs/>
      </w:rPr>
    </w:tblStylePr>
    <w:tblStylePr w:type="lastCol">
      <w:rPr>
        <w:b/>
        <w:bCs/>
      </w:rPr>
    </w:tblStylePr>
    <w:tblStylePr w:type="band1Vert">
      <w:tblPr/>
      <w:tcPr>
        <w:tcBorders>
          <w:top w:val="single" w:color="231F20" w:themeColor="text1" w:sz="8" w:space="0"/>
          <w:left w:val="single" w:color="231F20" w:themeColor="text1" w:sz="8" w:space="0"/>
          <w:bottom w:val="single" w:color="231F20" w:themeColor="text1" w:sz="8" w:space="0"/>
          <w:right w:val="single" w:color="231F20" w:themeColor="text1" w:sz="8" w:space="0"/>
        </w:tcBorders>
      </w:tcPr>
    </w:tblStylePr>
    <w:tblStylePr w:type="band1Horz">
      <w:tblPr/>
      <w:tcPr>
        <w:tcBorders>
          <w:top w:val="single" w:color="231F20" w:themeColor="text1" w:sz="8" w:space="0"/>
          <w:left w:val="single" w:color="231F20" w:themeColor="text1" w:sz="8" w:space="0"/>
          <w:bottom w:val="single" w:color="231F20" w:themeColor="text1" w:sz="8" w:space="0"/>
          <w:right w:val="single" w:color="231F20" w:themeColor="text1" w:sz="8" w:space="0"/>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color="8ACED7" w:themeColor="accent1" w:sz="8" w:space="0"/>
        <w:left w:val="single" w:color="8ACED7" w:themeColor="accent1" w:sz="8" w:space="0"/>
        <w:bottom w:val="single" w:color="8ACED7" w:themeColor="accent1" w:sz="8" w:space="0"/>
        <w:right w:val="single" w:color="8ACED7" w:themeColor="accent1" w:sz="8" w:space="0"/>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color="8ACED7" w:themeColor="accent1" w:sz="6" w:space="0"/>
          <w:left w:val="single" w:color="8ACED7" w:themeColor="accent1" w:sz="8" w:space="0"/>
          <w:bottom w:val="single" w:color="8ACED7" w:themeColor="accent1" w:sz="8" w:space="0"/>
          <w:right w:val="single" w:color="8ACED7" w:themeColor="accent1" w:sz="8" w:space="0"/>
        </w:tcBorders>
      </w:tcPr>
    </w:tblStylePr>
    <w:tblStylePr w:type="firstCol">
      <w:rPr>
        <w:b/>
        <w:bCs/>
      </w:rPr>
    </w:tblStylePr>
    <w:tblStylePr w:type="lastCol">
      <w:rPr>
        <w:b/>
        <w:bCs/>
      </w:rPr>
    </w:tblStylePr>
    <w:tblStylePr w:type="band1Vert">
      <w:tblPr/>
      <w:tcPr>
        <w:tcBorders>
          <w:top w:val="single" w:color="8ACED7" w:themeColor="accent1" w:sz="8" w:space="0"/>
          <w:left w:val="single" w:color="8ACED7" w:themeColor="accent1" w:sz="8" w:space="0"/>
          <w:bottom w:val="single" w:color="8ACED7" w:themeColor="accent1" w:sz="8" w:space="0"/>
          <w:right w:val="single" w:color="8ACED7" w:themeColor="accent1" w:sz="8" w:space="0"/>
        </w:tcBorders>
      </w:tcPr>
    </w:tblStylePr>
    <w:tblStylePr w:type="band1Horz">
      <w:tblPr/>
      <w:tcPr>
        <w:tcBorders>
          <w:top w:val="single" w:color="8ACED7" w:themeColor="accent1" w:sz="8" w:space="0"/>
          <w:left w:val="single" w:color="8ACED7" w:themeColor="accent1" w:sz="8" w:space="0"/>
          <w:bottom w:val="single" w:color="8ACED7" w:themeColor="accent1" w:sz="8" w:space="0"/>
          <w:right w:val="single" w:color="8ACED7" w:themeColor="accent1" w:sz="8" w:space="0"/>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color="003263" w:themeColor="accent2" w:sz="8" w:space="0"/>
        <w:left w:val="single" w:color="003263" w:themeColor="accent2" w:sz="8" w:space="0"/>
        <w:bottom w:val="single" w:color="003263" w:themeColor="accent2" w:sz="8" w:space="0"/>
        <w:right w:val="single" w:color="003263" w:themeColor="accent2" w:sz="8" w:space="0"/>
      </w:tblBorders>
    </w:tblPr>
    <w:tblStylePr w:type="firstRow">
      <w:pPr>
        <w:spacing w:before="0" w:after="0" w:line="240" w:lineRule="auto"/>
      </w:pPr>
      <w:rPr>
        <w:b/>
        <w:bCs/>
        <w:color w:val="FFFFFF" w:themeColor="background1"/>
      </w:rPr>
      <w:tblPr/>
      <w:tcPr>
        <w:shd w:val="clear" w:color="auto" w:fill="003263" w:themeFill="accent2"/>
      </w:tcPr>
    </w:tblStylePr>
    <w:tblStylePr w:type="lastRow">
      <w:pPr>
        <w:spacing w:before="0" w:after="0" w:line="240" w:lineRule="auto"/>
      </w:pPr>
      <w:rPr>
        <w:b/>
        <w:bCs/>
      </w:rPr>
      <w:tblPr/>
      <w:tcPr>
        <w:tcBorders>
          <w:top w:val="double" w:color="003263" w:themeColor="accent2" w:sz="6" w:space="0"/>
          <w:left w:val="single" w:color="003263" w:themeColor="accent2" w:sz="8" w:space="0"/>
          <w:bottom w:val="single" w:color="003263" w:themeColor="accent2" w:sz="8" w:space="0"/>
          <w:right w:val="single" w:color="003263" w:themeColor="accent2" w:sz="8" w:space="0"/>
        </w:tcBorders>
      </w:tcPr>
    </w:tblStylePr>
    <w:tblStylePr w:type="firstCol">
      <w:rPr>
        <w:b/>
        <w:bCs/>
      </w:rPr>
    </w:tblStylePr>
    <w:tblStylePr w:type="lastCol">
      <w:rPr>
        <w:b/>
        <w:bCs/>
      </w:rPr>
    </w:tblStylePr>
    <w:tblStylePr w:type="band1Vert">
      <w:tblPr/>
      <w:tcPr>
        <w:tcBorders>
          <w:top w:val="single" w:color="003263" w:themeColor="accent2" w:sz="8" w:space="0"/>
          <w:left w:val="single" w:color="003263" w:themeColor="accent2" w:sz="8" w:space="0"/>
          <w:bottom w:val="single" w:color="003263" w:themeColor="accent2" w:sz="8" w:space="0"/>
          <w:right w:val="single" w:color="003263" w:themeColor="accent2" w:sz="8" w:space="0"/>
        </w:tcBorders>
      </w:tcPr>
    </w:tblStylePr>
    <w:tblStylePr w:type="band1Horz">
      <w:tblPr/>
      <w:tcPr>
        <w:tcBorders>
          <w:top w:val="single" w:color="003263" w:themeColor="accent2" w:sz="8" w:space="0"/>
          <w:left w:val="single" w:color="003263" w:themeColor="accent2" w:sz="8" w:space="0"/>
          <w:bottom w:val="single" w:color="003263" w:themeColor="accent2" w:sz="8" w:space="0"/>
          <w:right w:val="single" w:color="003263" w:themeColor="accent2" w:sz="8" w:space="0"/>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color="F04E2D" w:themeColor="accent3" w:sz="8" w:space="0"/>
        <w:left w:val="single" w:color="F04E2D" w:themeColor="accent3" w:sz="8" w:space="0"/>
        <w:bottom w:val="single" w:color="F04E2D" w:themeColor="accent3" w:sz="8" w:space="0"/>
        <w:right w:val="single" w:color="F04E2D" w:themeColor="accent3" w:sz="8" w:space="0"/>
      </w:tblBorders>
    </w:tblPr>
    <w:tblStylePr w:type="firstRow">
      <w:pPr>
        <w:spacing w:before="0" w:after="0" w:line="240" w:lineRule="auto"/>
      </w:pPr>
      <w:rPr>
        <w:b/>
        <w:bCs/>
        <w:color w:val="FFFFFF" w:themeColor="background1"/>
      </w:rPr>
      <w:tblPr/>
      <w:tcPr>
        <w:shd w:val="clear" w:color="auto" w:fill="F04E2D" w:themeFill="accent3"/>
      </w:tcPr>
    </w:tblStylePr>
    <w:tblStylePr w:type="lastRow">
      <w:pPr>
        <w:spacing w:before="0" w:after="0" w:line="240" w:lineRule="auto"/>
      </w:pPr>
      <w:rPr>
        <w:b/>
        <w:bCs/>
      </w:rPr>
      <w:tblPr/>
      <w:tcPr>
        <w:tcBorders>
          <w:top w:val="double" w:color="F04E2D" w:themeColor="accent3" w:sz="6" w:space="0"/>
          <w:left w:val="single" w:color="F04E2D" w:themeColor="accent3" w:sz="8" w:space="0"/>
          <w:bottom w:val="single" w:color="F04E2D" w:themeColor="accent3" w:sz="8" w:space="0"/>
          <w:right w:val="single" w:color="F04E2D" w:themeColor="accent3" w:sz="8" w:space="0"/>
        </w:tcBorders>
      </w:tcPr>
    </w:tblStylePr>
    <w:tblStylePr w:type="firstCol">
      <w:rPr>
        <w:b/>
        <w:bCs/>
      </w:rPr>
    </w:tblStylePr>
    <w:tblStylePr w:type="lastCol">
      <w:rPr>
        <w:b/>
        <w:bCs/>
      </w:rPr>
    </w:tblStylePr>
    <w:tblStylePr w:type="band1Vert">
      <w:tblPr/>
      <w:tcPr>
        <w:tcBorders>
          <w:top w:val="single" w:color="F04E2D" w:themeColor="accent3" w:sz="8" w:space="0"/>
          <w:left w:val="single" w:color="F04E2D" w:themeColor="accent3" w:sz="8" w:space="0"/>
          <w:bottom w:val="single" w:color="F04E2D" w:themeColor="accent3" w:sz="8" w:space="0"/>
          <w:right w:val="single" w:color="F04E2D" w:themeColor="accent3" w:sz="8" w:space="0"/>
        </w:tcBorders>
      </w:tcPr>
    </w:tblStylePr>
    <w:tblStylePr w:type="band1Horz">
      <w:tblPr/>
      <w:tcPr>
        <w:tcBorders>
          <w:top w:val="single" w:color="F04E2D" w:themeColor="accent3" w:sz="8" w:space="0"/>
          <w:left w:val="single" w:color="F04E2D" w:themeColor="accent3" w:sz="8" w:space="0"/>
          <w:bottom w:val="single" w:color="F04E2D" w:themeColor="accent3" w:sz="8" w:space="0"/>
          <w:right w:val="single" w:color="F04E2D" w:themeColor="accent3" w:sz="8" w:space="0"/>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color="50BFA2" w:themeColor="accent4" w:sz="8" w:space="0"/>
        <w:left w:val="single" w:color="50BFA2" w:themeColor="accent4" w:sz="8" w:space="0"/>
        <w:bottom w:val="single" w:color="50BFA2" w:themeColor="accent4" w:sz="8" w:space="0"/>
        <w:right w:val="single" w:color="50BFA2" w:themeColor="accent4" w:sz="8" w:space="0"/>
      </w:tblBorders>
    </w:tblPr>
    <w:tblStylePr w:type="firstRow">
      <w:pPr>
        <w:spacing w:before="0" w:after="0" w:line="240" w:lineRule="auto"/>
      </w:pPr>
      <w:rPr>
        <w:b/>
        <w:bCs/>
        <w:color w:val="FFFFFF" w:themeColor="background1"/>
      </w:rPr>
      <w:tblPr/>
      <w:tcPr>
        <w:shd w:val="clear" w:color="auto" w:fill="50BFA2" w:themeFill="accent4"/>
      </w:tcPr>
    </w:tblStylePr>
    <w:tblStylePr w:type="lastRow">
      <w:pPr>
        <w:spacing w:before="0" w:after="0" w:line="240" w:lineRule="auto"/>
      </w:pPr>
      <w:rPr>
        <w:b/>
        <w:bCs/>
      </w:rPr>
      <w:tblPr/>
      <w:tcPr>
        <w:tcBorders>
          <w:top w:val="double" w:color="50BFA2" w:themeColor="accent4" w:sz="6" w:space="0"/>
          <w:left w:val="single" w:color="50BFA2" w:themeColor="accent4" w:sz="8" w:space="0"/>
          <w:bottom w:val="single" w:color="50BFA2" w:themeColor="accent4" w:sz="8" w:space="0"/>
          <w:right w:val="single" w:color="50BFA2" w:themeColor="accent4" w:sz="8" w:space="0"/>
        </w:tcBorders>
      </w:tcPr>
    </w:tblStylePr>
    <w:tblStylePr w:type="firstCol">
      <w:rPr>
        <w:b/>
        <w:bCs/>
      </w:rPr>
    </w:tblStylePr>
    <w:tblStylePr w:type="lastCol">
      <w:rPr>
        <w:b/>
        <w:bCs/>
      </w:rPr>
    </w:tblStylePr>
    <w:tblStylePr w:type="band1Vert">
      <w:tblPr/>
      <w:tcPr>
        <w:tcBorders>
          <w:top w:val="single" w:color="50BFA2" w:themeColor="accent4" w:sz="8" w:space="0"/>
          <w:left w:val="single" w:color="50BFA2" w:themeColor="accent4" w:sz="8" w:space="0"/>
          <w:bottom w:val="single" w:color="50BFA2" w:themeColor="accent4" w:sz="8" w:space="0"/>
          <w:right w:val="single" w:color="50BFA2" w:themeColor="accent4" w:sz="8" w:space="0"/>
        </w:tcBorders>
      </w:tcPr>
    </w:tblStylePr>
    <w:tblStylePr w:type="band1Horz">
      <w:tblPr/>
      <w:tcPr>
        <w:tcBorders>
          <w:top w:val="single" w:color="50BFA2" w:themeColor="accent4" w:sz="8" w:space="0"/>
          <w:left w:val="single" w:color="50BFA2" w:themeColor="accent4" w:sz="8" w:space="0"/>
          <w:bottom w:val="single" w:color="50BFA2" w:themeColor="accent4" w:sz="8" w:space="0"/>
          <w:right w:val="single" w:color="50BFA2" w:themeColor="accent4" w:sz="8" w:space="0"/>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color="9A64A9" w:themeColor="accent5" w:sz="8" w:space="0"/>
        <w:left w:val="single" w:color="9A64A9" w:themeColor="accent5" w:sz="8" w:space="0"/>
        <w:bottom w:val="single" w:color="9A64A9" w:themeColor="accent5" w:sz="8" w:space="0"/>
        <w:right w:val="single" w:color="9A64A9" w:themeColor="accent5" w:sz="8" w:space="0"/>
      </w:tblBorders>
    </w:tblPr>
    <w:tblStylePr w:type="firstRow">
      <w:pPr>
        <w:spacing w:before="0" w:after="0" w:line="240" w:lineRule="auto"/>
      </w:pPr>
      <w:rPr>
        <w:b/>
        <w:bCs/>
        <w:color w:val="FFFFFF" w:themeColor="background1"/>
      </w:rPr>
      <w:tblPr/>
      <w:tcPr>
        <w:shd w:val="clear" w:color="auto" w:fill="9A64A9" w:themeFill="accent5"/>
      </w:tcPr>
    </w:tblStylePr>
    <w:tblStylePr w:type="lastRow">
      <w:pPr>
        <w:spacing w:before="0" w:after="0" w:line="240" w:lineRule="auto"/>
      </w:pPr>
      <w:rPr>
        <w:b/>
        <w:bCs/>
      </w:rPr>
      <w:tblPr/>
      <w:tcPr>
        <w:tcBorders>
          <w:top w:val="double" w:color="9A64A9" w:themeColor="accent5" w:sz="6" w:space="0"/>
          <w:left w:val="single" w:color="9A64A9" w:themeColor="accent5" w:sz="8" w:space="0"/>
          <w:bottom w:val="single" w:color="9A64A9" w:themeColor="accent5" w:sz="8" w:space="0"/>
          <w:right w:val="single" w:color="9A64A9" w:themeColor="accent5" w:sz="8" w:space="0"/>
        </w:tcBorders>
      </w:tcPr>
    </w:tblStylePr>
    <w:tblStylePr w:type="firstCol">
      <w:rPr>
        <w:b/>
        <w:bCs/>
      </w:rPr>
    </w:tblStylePr>
    <w:tblStylePr w:type="lastCol">
      <w:rPr>
        <w:b/>
        <w:bCs/>
      </w:rPr>
    </w:tblStylePr>
    <w:tblStylePr w:type="band1Vert">
      <w:tblPr/>
      <w:tcPr>
        <w:tcBorders>
          <w:top w:val="single" w:color="9A64A9" w:themeColor="accent5" w:sz="8" w:space="0"/>
          <w:left w:val="single" w:color="9A64A9" w:themeColor="accent5" w:sz="8" w:space="0"/>
          <w:bottom w:val="single" w:color="9A64A9" w:themeColor="accent5" w:sz="8" w:space="0"/>
          <w:right w:val="single" w:color="9A64A9" w:themeColor="accent5" w:sz="8" w:space="0"/>
        </w:tcBorders>
      </w:tcPr>
    </w:tblStylePr>
    <w:tblStylePr w:type="band1Horz">
      <w:tblPr/>
      <w:tcPr>
        <w:tcBorders>
          <w:top w:val="single" w:color="9A64A9" w:themeColor="accent5" w:sz="8" w:space="0"/>
          <w:left w:val="single" w:color="9A64A9" w:themeColor="accent5" w:sz="8" w:space="0"/>
          <w:bottom w:val="single" w:color="9A64A9" w:themeColor="accent5" w:sz="8" w:space="0"/>
          <w:right w:val="single" w:color="9A64A9" w:themeColor="accent5" w:sz="8" w:space="0"/>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color="FFCF62" w:themeColor="accent6" w:sz="8" w:space="0"/>
        <w:left w:val="single" w:color="FFCF62" w:themeColor="accent6" w:sz="8" w:space="0"/>
        <w:bottom w:val="single" w:color="FFCF62" w:themeColor="accent6" w:sz="8" w:space="0"/>
        <w:right w:val="single" w:color="FFCF62" w:themeColor="accent6" w:sz="8" w:space="0"/>
      </w:tblBorders>
    </w:tblPr>
    <w:tblStylePr w:type="firstRow">
      <w:pPr>
        <w:spacing w:before="0" w:after="0" w:line="240" w:lineRule="auto"/>
      </w:pPr>
      <w:rPr>
        <w:b/>
        <w:bCs/>
        <w:color w:val="FFFFFF" w:themeColor="background1"/>
      </w:rPr>
      <w:tblPr/>
      <w:tcPr>
        <w:shd w:val="clear" w:color="auto" w:fill="FFCF62" w:themeFill="accent6"/>
      </w:tcPr>
    </w:tblStylePr>
    <w:tblStylePr w:type="lastRow">
      <w:pPr>
        <w:spacing w:before="0" w:after="0" w:line="240" w:lineRule="auto"/>
      </w:pPr>
      <w:rPr>
        <w:b/>
        <w:bCs/>
      </w:rPr>
      <w:tblPr/>
      <w:tcPr>
        <w:tcBorders>
          <w:top w:val="double" w:color="FFCF62" w:themeColor="accent6" w:sz="6" w:space="0"/>
          <w:left w:val="single" w:color="FFCF62" w:themeColor="accent6" w:sz="8" w:space="0"/>
          <w:bottom w:val="single" w:color="FFCF62" w:themeColor="accent6" w:sz="8" w:space="0"/>
          <w:right w:val="single" w:color="FFCF62" w:themeColor="accent6" w:sz="8" w:space="0"/>
        </w:tcBorders>
      </w:tcPr>
    </w:tblStylePr>
    <w:tblStylePr w:type="firstCol">
      <w:rPr>
        <w:b/>
        <w:bCs/>
      </w:rPr>
    </w:tblStylePr>
    <w:tblStylePr w:type="lastCol">
      <w:rPr>
        <w:b/>
        <w:bCs/>
      </w:rPr>
    </w:tblStylePr>
    <w:tblStylePr w:type="band1Vert">
      <w:tblPr/>
      <w:tcPr>
        <w:tcBorders>
          <w:top w:val="single" w:color="FFCF62" w:themeColor="accent6" w:sz="8" w:space="0"/>
          <w:left w:val="single" w:color="FFCF62" w:themeColor="accent6" w:sz="8" w:space="0"/>
          <w:bottom w:val="single" w:color="FFCF62" w:themeColor="accent6" w:sz="8" w:space="0"/>
          <w:right w:val="single" w:color="FFCF62" w:themeColor="accent6" w:sz="8" w:space="0"/>
        </w:tcBorders>
      </w:tcPr>
    </w:tblStylePr>
    <w:tblStylePr w:type="band1Horz">
      <w:tblPr/>
      <w:tcPr>
        <w:tcBorders>
          <w:top w:val="single" w:color="FFCF62" w:themeColor="accent6" w:sz="8" w:space="0"/>
          <w:left w:val="single" w:color="FFCF62" w:themeColor="accent6" w:sz="8" w:space="0"/>
          <w:bottom w:val="single" w:color="FFCF62" w:themeColor="accent6" w:sz="8" w:space="0"/>
          <w:right w:val="single" w:color="FFCF62" w:themeColor="accent6" w:sz="8" w:space="0"/>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color="231F20" w:themeColor="text1" w:sz="8" w:space="0"/>
        <w:bottom w:val="single" w:color="231F20" w:themeColor="text1" w:sz="8" w:space="0"/>
      </w:tblBorders>
    </w:tblPr>
    <w:tblStylePr w:type="firstRow">
      <w:pPr>
        <w:spacing w:before="0" w:after="0" w:line="240" w:lineRule="auto"/>
      </w:pPr>
      <w:rPr>
        <w:b/>
        <w:bCs/>
      </w:rPr>
      <w:tblPr/>
      <w:tcPr>
        <w:tcBorders>
          <w:top w:val="single" w:color="231F20" w:themeColor="text1" w:sz="8" w:space="0"/>
          <w:left w:val="nil"/>
          <w:bottom w:val="single" w:color="231F20" w:themeColor="text1" w:sz="8" w:space="0"/>
          <w:right w:val="nil"/>
          <w:insideH w:val="nil"/>
          <w:insideV w:val="nil"/>
        </w:tcBorders>
      </w:tcPr>
    </w:tblStylePr>
    <w:tblStylePr w:type="lastRow">
      <w:pPr>
        <w:spacing w:before="0" w:after="0" w:line="240" w:lineRule="auto"/>
      </w:pPr>
      <w:rPr>
        <w:b/>
        <w:bCs/>
      </w:rPr>
      <w:tblPr/>
      <w:tcPr>
        <w:tcBorders>
          <w:top w:val="single" w:color="231F20" w:themeColor="text1" w:sz="8" w:space="0"/>
          <w:left w:val="nil"/>
          <w:bottom w:val="single" w:color="231F2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color="8ACED7" w:themeColor="accent1" w:sz="8" w:space="0"/>
        <w:bottom w:val="single" w:color="8ACED7" w:themeColor="accent1" w:sz="8" w:space="0"/>
      </w:tblBorders>
    </w:tblPr>
    <w:tblStylePr w:type="firstRow">
      <w:pPr>
        <w:spacing w:before="0" w:after="0" w:line="240" w:lineRule="auto"/>
      </w:pPr>
      <w:rPr>
        <w:b/>
        <w:bCs/>
      </w:rPr>
      <w:tblPr/>
      <w:tcPr>
        <w:tcBorders>
          <w:top w:val="single" w:color="8ACED7" w:themeColor="accent1" w:sz="8" w:space="0"/>
          <w:left w:val="nil"/>
          <w:bottom w:val="single" w:color="8ACED7" w:themeColor="accent1" w:sz="8" w:space="0"/>
          <w:right w:val="nil"/>
          <w:insideH w:val="nil"/>
          <w:insideV w:val="nil"/>
        </w:tcBorders>
      </w:tcPr>
    </w:tblStylePr>
    <w:tblStylePr w:type="lastRow">
      <w:pPr>
        <w:spacing w:before="0" w:after="0" w:line="240" w:lineRule="auto"/>
      </w:pPr>
      <w:rPr>
        <w:b/>
        <w:bCs/>
      </w:rPr>
      <w:tblPr/>
      <w:tcPr>
        <w:tcBorders>
          <w:top w:val="single" w:color="8ACED7" w:themeColor="accent1" w:sz="8" w:space="0"/>
          <w:left w:val="nil"/>
          <w:bottom w:val="single" w:color="8ACED7"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00254A" w:themeColor="accent2" w:themeShade="BF"/>
    </w:rPr>
    <w:tblPr>
      <w:tblStyleRowBandSize w:val="1"/>
      <w:tblStyleColBandSize w:val="1"/>
      <w:tblBorders>
        <w:top w:val="single" w:color="003263" w:themeColor="accent2" w:sz="8" w:space="0"/>
        <w:bottom w:val="single" w:color="003263" w:themeColor="accent2" w:sz="8" w:space="0"/>
      </w:tblBorders>
    </w:tblPr>
    <w:tblStylePr w:type="firstRow">
      <w:pPr>
        <w:spacing w:before="0" w:after="0" w:line="240" w:lineRule="auto"/>
      </w:pPr>
      <w:rPr>
        <w:b/>
        <w:bCs/>
      </w:rPr>
      <w:tblPr/>
      <w:tcPr>
        <w:tcBorders>
          <w:top w:val="single" w:color="003263" w:themeColor="accent2" w:sz="8" w:space="0"/>
          <w:left w:val="nil"/>
          <w:bottom w:val="single" w:color="003263" w:themeColor="accent2" w:sz="8" w:space="0"/>
          <w:right w:val="nil"/>
          <w:insideH w:val="nil"/>
          <w:insideV w:val="nil"/>
        </w:tcBorders>
      </w:tcPr>
    </w:tblStylePr>
    <w:tblStylePr w:type="lastRow">
      <w:pPr>
        <w:spacing w:before="0" w:after="0" w:line="240" w:lineRule="auto"/>
      </w:pPr>
      <w:rPr>
        <w:b/>
        <w:bCs/>
      </w:rPr>
      <w:tblPr/>
      <w:tcPr>
        <w:tcBorders>
          <w:top w:val="single" w:color="003263" w:themeColor="accent2" w:sz="8" w:space="0"/>
          <w:left w:val="nil"/>
          <w:bottom w:val="single" w:color="003263"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left w:val="nil"/>
          <w:right w:val="nil"/>
          <w:insideH w:val="nil"/>
          <w:insideV w:val="nil"/>
        </w:tcBorders>
        <w:shd w:val="clear" w:color="auto" w:fill="99CCFF" w:themeFill="accent2" w:themeFillTint="3F"/>
      </w:tcPr>
    </w:tblStylePr>
  </w:style>
  <w:style w:type="table" w:styleId="LightShading-Accent3">
    <w:name w:val="Light Shading Accent 3"/>
    <w:basedOn w:val="TableNormal"/>
    <w:uiPriority w:val="60"/>
    <w:semiHidden/>
    <w:rsid w:val="00B60586"/>
    <w:pPr>
      <w:spacing w:line="240" w:lineRule="auto"/>
    </w:pPr>
    <w:rPr>
      <w:color w:val="C72D0E" w:themeColor="accent3" w:themeShade="BF"/>
    </w:rPr>
    <w:tblPr>
      <w:tblStyleRowBandSize w:val="1"/>
      <w:tblStyleColBandSize w:val="1"/>
      <w:tblBorders>
        <w:top w:val="single" w:color="F04E2D" w:themeColor="accent3" w:sz="8" w:space="0"/>
        <w:bottom w:val="single" w:color="F04E2D" w:themeColor="accent3" w:sz="8" w:space="0"/>
      </w:tblBorders>
    </w:tblPr>
    <w:tblStylePr w:type="firstRow">
      <w:pPr>
        <w:spacing w:before="0" w:after="0" w:line="240" w:lineRule="auto"/>
      </w:pPr>
      <w:rPr>
        <w:b/>
        <w:bCs/>
      </w:rPr>
      <w:tblPr/>
      <w:tcPr>
        <w:tcBorders>
          <w:top w:val="single" w:color="F04E2D" w:themeColor="accent3" w:sz="8" w:space="0"/>
          <w:left w:val="nil"/>
          <w:bottom w:val="single" w:color="F04E2D" w:themeColor="accent3" w:sz="8" w:space="0"/>
          <w:right w:val="nil"/>
          <w:insideH w:val="nil"/>
          <w:insideV w:val="nil"/>
        </w:tcBorders>
      </w:tcPr>
    </w:tblStylePr>
    <w:tblStylePr w:type="lastRow">
      <w:pPr>
        <w:spacing w:before="0" w:after="0" w:line="240" w:lineRule="auto"/>
      </w:pPr>
      <w:rPr>
        <w:b/>
        <w:bCs/>
      </w:rPr>
      <w:tblPr/>
      <w:tcPr>
        <w:tcBorders>
          <w:top w:val="single" w:color="F04E2D" w:themeColor="accent3" w:sz="8" w:space="0"/>
          <w:left w:val="nil"/>
          <w:bottom w:val="single" w:color="F04E2D"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left w:val="nil"/>
          <w:right w:val="nil"/>
          <w:insideH w:val="nil"/>
          <w:insideV w:val="nil"/>
        </w:tcBorders>
        <w:shd w:val="clear" w:color="auto" w:fill="FBD3CB" w:themeFill="accent3" w:themeFillTint="3F"/>
      </w:tcPr>
    </w:tblStylePr>
  </w:style>
  <w:style w:type="table" w:styleId="LightShading-Accent4">
    <w:name w:val="Light Shading Accent 4"/>
    <w:basedOn w:val="TableNormal"/>
    <w:uiPriority w:val="60"/>
    <w:semiHidden/>
    <w:rsid w:val="00B60586"/>
    <w:pPr>
      <w:spacing w:line="240" w:lineRule="auto"/>
    </w:pPr>
    <w:rPr>
      <w:color w:val="36947B" w:themeColor="accent4" w:themeShade="BF"/>
    </w:rPr>
    <w:tblPr>
      <w:tblStyleRowBandSize w:val="1"/>
      <w:tblStyleColBandSize w:val="1"/>
      <w:tblBorders>
        <w:top w:val="single" w:color="50BFA2" w:themeColor="accent4" w:sz="8" w:space="0"/>
        <w:bottom w:val="single" w:color="50BFA2" w:themeColor="accent4" w:sz="8" w:space="0"/>
      </w:tblBorders>
    </w:tblPr>
    <w:tblStylePr w:type="firstRow">
      <w:pPr>
        <w:spacing w:before="0" w:after="0" w:line="240" w:lineRule="auto"/>
      </w:pPr>
      <w:rPr>
        <w:b/>
        <w:bCs/>
      </w:rPr>
      <w:tblPr/>
      <w:tcPr>
        <w:tcBorders>
          <w:top w:val="single" w:color="50BFA2" w:themeColor="accent4" w:sz="8" w:space="0"/>
          <w:left w:val="nil"/>
          <w:bottom w:val="single" w:color="50BFA2" w:themeColor="accent4" w:sz="8" w:space="0"/>
          <w:right w:val="nil"/>
          <w:insideH w:val="nil"/>
          <w:insideV w:val="nil"/>
        </w:tcBorders>
      </w:tcPr>
    </w:tblStylePr>
    <w:tblStylePr w:type="lastRow">
      <w:pPr>
        <w:spacing w:before="0" w:after="0" w:line="240" w:lineRule="auto"/>
      </w:pPr>
      <w:rPr>
        <w:b/>
        <w:bCs/>
      </w:rPr>
      <w:tblPr/>
      <w:tcPr>
        <w:tcBorders>
          <w:top w:val="single" w:color="50BFA2" w:themeColor="accent4" w:sz="8" w:space="0"/>
          <w:left w:val="nil"/>
          <w:bottom w:val="single" w:color="50BF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left w:val="nil"/>
          <w:right w:val="nil"/>
          <w:insideH w:val="nil"/>
          <w:insideV w:val="nil"/>
        </w:tcBorders>
        <w:shd w:val="clear" w:color="auto" w:fill="D3EFE7" w:themeFill="accent4" w:themeFillTint="3F"/>
      </w:tcPr>
    </w:tblStylePr>
  </w:style>
  <w:style w:type="table" w:styleId="LightShading-Accent5">
    <w:name w:val="Light Shading Accent 5"/>
    <w:basedOn w:val="TableNormal"/>
    <w:uiPriority w:val="60"/>
    <w:semiHidden/>
    <w:rsid w:val="00B60586"/>
    <w:pPr>
      <w:spacing w:line="240" w:lineRule="auto"/>
    </w:pPr>
    <w:rPr>
      <w:color w:val="744881" w:themeColor="accent5" w:themeShade="BF"/>
    </w:rPr>
    <w:tblPr>
      <w:tblStyleRowBandSize w:val="1"/>
      <w:tblStyleColBandSize w:val="1"/>
      <w:tblBorders>
        <w:top w:val="single" w:color="9A64A9" w:themeColor="accent5" w:sz="8" w:space="0"/>
        <w:bottom w:val="single" w:color="9A64A9" w:themeColor="accent5" w:sz="8" w:space="0"/>
      </w:tblBorders>
    </w:tblPr>
    <w:tblStylePr w:type="firstRow">
      <w:pPr>
        <w:spacing w:before="0" w:after="0" w:line="240" w:lineRule="auto"/>
      </w:pPr>
      <w:rPr>
        <w:b/>
        <w:bCs/>
      </w:rPr>
      <w:tblPr/>
      <w:tcPr>
        <w:tcBorders>
          <w:top w:val="single" w:color="9A64A9" w:themeColor="accent5" w:sz="8" w:space="0"/>
          <w:left w:val="nil"/>
          <w:bottom w:val="single" w:color="9A64A9" w:themeColor="accent5" w:sz="8" w:space="0"/>
          <w:right w:val="nil"/>
          <w:insideH w:val="nil"/>
          <w:insideV w:val="nil"/>
        </w:tcBorders>
      </w:tcPr>
    </w:tblStylePr>
    <w:tblStylePr w:type="lastRow">
      <w:pPr>
        <w:spacing w:before="0" w:after="0" w:line="240" w:lineRule="auto"/>
      </w:pPr>
      <w:rPr>
        <w:b/>
        <w:bCs/>
      </w:rPr>
      <w:tblPr/>
      <w:tcPr>
        <w:tcBorders>
          <w:top w:val="single" w:color="9A64A9" w:themeColor="accent5" w:sz="8" w:space="0"/>
          <w:left w:val="nil"/>
          <w:bottom w:val="single" w:color="9A64A9"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left w:val="nil"/>
          <w:right w:val="nil"/>
          <w:insideH w:val="nil"/>
          <w:insideV w:val="nil"/>
        </w:tcBorders>
        <w:shd w:val="clear" w:color="auto" w:fill="E6D8E9" w:themeFill="accent5" w:themeFillTint="3F"/>
      </w:tcPr>
    </w:tblStylePr>
  </w:style>
  <w:style w:type="table" w:styleId="LightShading-Accent6">
    <w:name w:val="Light Shading Accent 6"/>
    <w:basedOn w:val="TableNormal"/>
    <w:uiPriority w:val="60"/>
    <w:semiHidden/>
    <w:rsid w:val="00B60586"/>
    <w:pPr>
      <w:spacing w:line="240" w:lineRule="auto"/>
    </w:pPr>
    <w:rPr>
      <w:color w:val="FFB309" w:themeColor="accent6" w:themeShade="BF"/>
    </w:rPr>
    <w:tblPr>
      <w:tblStyleRowBandSize w:val="1"/>
      <w:tblStyleColBandSize w:val="1"/>
      <w:tblBorders>
        <w:top w:val="single" w:color="FFCF62" w:themeColor="accent6" w:sz="8" w:space="0"/>
        <w:bottom w:val="single" w:color="FFCF62" w:themeColor="accent6" w:sz="8" w:space="0"/>
      </w:tblBorders>
    </w:tblPr>
    <w:tblStylePr w:type="firstRow">
      <w:pPr>
        <w:spacing w:before="0" w:after="0" w:line="240" w:lineRule="auto"/>
      </w:pPr>
      <w:rPr>
        <w:b/>
        <w:bCs/>
      </w:rPr>
      <w:tblPr/>
      <w:tcPr>
        <w:tcBorders>
          <w:top w:val="single" w:color="FFCF62" w:themeColor="accent6" w:sz="8" w:space="0"/>
          <w:left w:val="nil"/>
          <w:bottom w:val="single" w:color="FFCF62" w:themeColor="accent6" w:sz="8" w:space="0"/>
          <w:right w:val="nil"/>
          <w:insideH w:val="nil"/>
          <w:insideV w:val="nil"/>
        </w:tcBorders>
      </w:tcPr>
    </w:tblStylePr>
    <w:tblStylePr w:type="lastRow">
      <w:pPr>
        <w:spacing w:before="0" w:after="0" w:line="240" w:lineRule="auto"/>
      </w:pPr>
      <w:rPr>
        <w:b/>
        <w:bCs/>
      </w:rPr>
      <w:tblPr/>
      <w:tcPr>
        <w:tcBorders>
          <w:top w:val="single" w:color="FFCF62" w:themeColor="accent6" w:sz="8" w:space="0"/>
          <w:left w:val="nil"/>
          <w:bottom w:val="single" w:color="FFCF62"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left w:val="nil"/>
          <w:right w:val="nil"/>
          <w:insideH w:val="nil"/>
          <w:insideV w:val="nil"/>
        </w:tcBorders>
        <w:shd w:val="clear" w:color="auto" w:fill="FFF3D8" w:themeFill="accent6" w:themeFillTint="3F"/>
      </w:tcPr>
    </w:tblStylePr>
  </w:style>
  <w:style w:type="table" w:styleId="ListTable1Light">
    <w:name w:val="List Table 1 Light"/>
    <w:basedOn w:val="TableNormal"/>
    <w:uiPriority w:val="46"/>
    <w:rsid w:val="00B60586"/>
    <w:pPr>
      <w:spacing w:line="240" w:lineRule="auto"/>
    </w:pPr>
    <w:tblPr>
      <w:tblStyleRowBandSize w:val="1"/>
      <w:tblStyleColBandSize w:val="1"/>
    </w:tblPr>
    <w:tblStylePr w:type="firstRow">
      <w:rPr>
        <w:b/>
        <w:bCs/>
      </w:rPr>
      <w:tblPr/>
      <w:tcPr>
        <w:tcBorders>
          <w:bottom w:val="single" w:color="807276" w:themeColor="text1" w:themeTint="99" w:sz="4" w:space="0"/>
        </w:tcBorders>
      </w:tcPr>
    </w:tblStylePr>
    <w:tblStylePr w:type="lastRow">
      <w:rPr>
        <w:b/>
        <w:bCs/>
      </w:rPr>
      <w:tblPr/>
      <w:tcPr>
        <w:tcBorders>
          <w:top w:val="single" w:color="807276" w:themeColor="text1" w:themeTint="99" w:sz="4" w:space="0"/>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rsid w:val="00B60586"/>
    <w:pPr>
      <w:spacing w:line="240" w:lineRule="auto"/>
    </w:pPr>
    <w:tblPr>
      <w:tblStyleRowBandSize w:val="1"/>
      <w:tblStyleColBandSize w:val="1"/>
    </w:tblPr>
    <w:tblStylePr w:type="firstRow">
      <w:rPr>
        <w:b/>
        <w:bCs/>
      </w:rPr>
      <w:tblPr/>
      <w:tcPr>
        <w:tcBorders>
          <w:bottom w:val="single" w:color="B8E1E7" w:themeColor="accent1" w:themeTint="99" w:sz="4" w:space="0"/>
        </w:tcBorders>
      </w:tcPr>
    </w:tblStylePr>
    <w:tblStylePr w:type="lastRow">
      <w:rPr>
        <w:b/>
        <w:bCs/>
      </w:rPr>
      <w:tblPr/>
      <w:tcPr>
        <w:tcBorders>
          <w:top w:val="single" w:color="B8E1E7" w:themeColor="accent1" w:themeTint="99" w:sz="4" w:space="0"/>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rsid w:val="00B60586"/>
    <w:pPr>
      <w:spacing w:line="240" w:lineRule="auto"/>
    </w:pPr>
    <w:tblPr>
      <w:tblStyleRowBandSize w:val="1"/>
      <w:tblStyleColBandSize w:val="1"/>
    </w:tblPr>
    <w:tblStylePr w:type="firstRow">
      <w:rPr>
        <w:b/>
        <w:bCs/>
      </w:rPr>
      <w:tblPr/>
      <w:tcPr>
        <w:tcBorders>
          <w:bottom w:val="single" w:color="0884FF" w:themeColor="accent2" w:themeTint="99" w:sz="4" w:space="0"/>
        </w:tcBorders>
      </w:tcPr>
    </w:tblStylePr>
    <w:tblStylePr w:type="lastRow">
      <w:rPr>
        <w:b/>
        <w:bCs/>
      </w:rPr>
      <w:tblPr/>
      <w:tcPr>
        <w:tcBorders>
          <w:top w:val="single" w:color="0884FF" w:themeColor="accent2" w:themeTint="99" w:sz="4" w:space="0"/>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1Light-Accent3">
    <w:name w:val="List Table 1 Light Accent 3"/>
    <w:basedOn w:val="TableNormal"/>
    <w:uiPriority w:val="46"/>
    <w:rsid w:val="00B60586"/>
    <w:pPr>
      <w:spacing w:line="240" w:lineRule="auto"/>
    </w:pPr>
    <w:tblPr>
      <w:tblStyleRowBandSize w:val="1"/>
      <w:tblStyleColBandSize w:val="1"/>
    </w:tblPr>
    <w:tblStylePr w:type="firstRow">
      <w:rPr>
        <w:b/>
        <w:bCs/>
      </w:rPr>
      <w:tblPr/>
      <w:tcPr>
        <w:tcBorders>
          <w:bottom w:val="single" w:color="F69481" w:themeColor="accent3" w:themeTint="99" w:sz="4" w:space="0"/>
        </w:tcBorders>
      </w:tcPr>
    </w:tblStylePr>
    <w:tblStylePr w:type="lastRow">
      <w:rPr>
        <w:b/>
        <w:bCs/>
      </w:rPr>
      <w:tblPr/>
      <w:tcPr>
        <w:tcBorders>
          <w:top w:val="single" w:color="F69481" w:themeColor="accent3" w:themeTint="99" w:sz="4" w:space="0"/>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1Light-Accent4">
    <w:name w:val="List Table 1 Light Accent 4"/>
    <w:basedOn w:val="TableNormal"/>
    <w:uiPriority w:val="46"/>
    <w:rsid w:val="00B60586"/>
    <w:pPr>
      <w:spacing w:line="240" w:lineRule="auto"/>
    </w:pPr>
    <w:tblPr>
      <w:tblStyleRowBandSize w:val="1"/>
      <w:tblStyleColBandSize w:val="1"/>
    </w:tblPr>
    <w:tblStylePr w:type="firstRow">
      <w:rPr>
        <w:b/>
        <w:bCs/>
      </w:rPr>
      <w:tblPr/>
      <w:tcPr>
        <w:tcBorders>
          <w:bottom w:val="single" w:color="95D8C7" w:themeColor="accent4" w:themeTint="99" w:sz="4" w:space="0"/>
        </w:tcBorders>
      </w:tcPr>
    </w:tblStylePr>
    <w:tblStylePr w:type="lastRow">
      <w:rPr>
        <w:b/>
        <w:bCs/>
      </w:rPr>
      <w:tblPr/>
      <w:tcPr>
        <w:tcBorders>
          <w:top w:val="single" w:color="95D8C7" w:themeColor="accent4" w:themeTint="99" w:sz="4" w:space="0"/>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1Light-Accent5">
    <w:name w:val="List Table 1 Light Accent 5"/>
    <w:basedOn w:val="TableNormal"/>
    <w:uiPriority w:val="46"/>
    <w:rsid w:val="00B60586"/>
    <w:pPr>
      <w:spacing w:line="240" w:lineRule="auto"/>
    </w:pPr>
    <w:tblPr>
      <w:tblStyleRowBandSize w:val="1"/>
      <w:tblStyleColBandSize w:val="1"/>
    </w:tblPr>
    <w:tblStylePr w:type="firstRow">
      <w:rPr>
        <w:b/>
        <w:bCs/>
      </w:rPr>
      <w:tblPr/>
      <w:tcPr>
        <w:tcBorders>
          <w:bottom w:val="single" w:color="C2A1CB" w:themeColor="accent5" w:themeTint="99" w:sz="4" w:space="0"/>
        </w:tcBorders>
      </w:tcPr>
    </w:tblStylePr>
    <w:tblStylePr w:type="lastRow">
      <w:rPr>
        <w:b/>
        <w:bCs/>
      </w:rPr>
      <w:tblPr/>
      <w:tcPr>
        <w:tcBorders>
          <w:top w:val="single" w:color="C2A1CB" w:themeColor="accent5" w:themeTint="99" w:sz="4" w:space="0"/>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1Light-Accent6">
    <w:name w:val="List Table 1 Light Accent 6"/>
    <w:basedOn w:val="TableNormal"/>
    <w:uiPriority w:val="46"/>
    <w:rsid w:val="00B60586"/>
    <w:pPr>
      <w:spacing w:line="240" w:lineRule="auto"/>
    </w:pPr>
    <w:tblPr>
      <w:tblStyleRowBandSize w:val="1"/>
      <w:tblStyleColBandSize w:val="1"/>
    </w:tblPr>
    <w:tblStylePr w:type="firstRow">
      <w:rPr>
        <w:b/>
        <w:bCs/>
      </w:rPr>
      <w:tblPr/>
      <w:tcPr>
        <w:tcBorders>
          <w:bottom w:val="single" w:color="FFE2A0" w:themeColor="accent6" w:themeTint="99" w:sz="4" w:space="0"/>
        </w:tcBorders>
      </w:tcPr>
    </w:tblStylePr>
    <w:tblStylePr w:type="lastRow">
      <w:rPr>
        <w:b/>
        <w:bCs/>
      </w:rPr>
      <w:tblPr/>
      <w:tcPr>
        <w:tcBorders>
          <w:top w:val="single" w:color="FFE2A0" w:themeColor="accent6" w:themeTint="99" w:sz="4" w:space="0"/>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2">
    <w:name w:val="List Table 2"/>
    <w:basedOn w:val="TableNormal"/>
    <w:uiPriority w:val="47"/>
    <w:rsid w:val="00B60586"/>
    <w:pPr>
      <w:spacing w:line="240" w:lineRule="auto"/>
    </w:pPr>
    <w:tblPr>
      <w:tblStyleRowBandSize w:val="1"/>
      <w:tblStyleColBandSize w:val="1"/>
      <w:tblBorders>
        <w:top w:val="single" w:color="807276" w:themeColor="text1" w:themeTint="99" w:sz="4" w:space="0"/>
        <w:bottom w:val="single" w:color="807276" w:themeColor="text1" w:themeTint="99" w:sz="4" w:space="0"/>
        <w:insideH w:val="single" w:color="80727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rsid w:val="00B60586"/>
    <w:pPr>
      <w:spacing w:line="240" w:lineRule="auto"/>
    </w:pPr>
    <w:tblPr>
      <w:tblStyleRowBandSize w:val="1"/>
      <w:tblStyleColBandSize w:val="1"/>
      <w:tblBorders>
        <w:top w:val="single" w:color="B8E1E7" w:themeColor="accent1" w:themeTint="99" w:sz="4" w:space="0"/>
        <w:bottom w:val="single" w:color="B8E1E7" w:themeColor="accent1" w:themeTint="99" w:sz="4" w:space="0"/>
        <w:insideH w:val="single" w:color="B8E1E7"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rsid w:val="00B60586"/>
    <w:pPr>
      <w:spacing w:line="240" w:lineRule="auto"/>
    </w:pPr>
    <w:tblPr>
      <w:tblStyleRowBandSize w:val="1"/>
      <w:tblStyleColBandSize w:val="1"/>
      <w:tblBorders>
        <w:top w:val="single" w:color="0884FF" w:themeColor="accent2" w:themeTint="99" w:sz="4" w:space="0"/>
        <w:bottom w:val="single" w:color="0884FF" w:themeColor="accent2" w:themeTint="99" w:sz="4" w:space="0"/>
        <w:insideH w:val="single" w:color="0884FF"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2-Accent3">
    <w:name w:val="List Table 2 Accent 3"/>
    <w:basedOn w:val="TableNormal"/>
    <w:uiPriority w:val="47"/>
    <w:rsid w:val="00B60586"/>
    <w:pPr>
      <w:spacing w:line="240" w:lineRule="auto"/>
    </w:pPr>
    <w:tblPr>
      <w:tblStyleRowBandSize w:val="1"/>
      <w:tblStyleColBandSize w:val="1"/>
      <w:tblBorders>
        <w:top w:val="single" w:color="F69481" w:themeColor="accent3" w:themeTint="99" w:sz="4" w:space="0"/>
        <w:bottom w:val="single" w:color="F69481" w:themeColor="accent3" w:themeTint="99" w:sz="4" w:space="0"/>
        <w:insideH w:val="single" w:color="F69481"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2-Accent4">
    <w:name w:val="List Table 2 Accent 4"/>
    <w:basedOn w:val="TableNormal"/>
    <w:uiPriority w:val="47"/>
    <w:rsid w:val="00B60586"/>
    <w:pPr>
      <w:spacing w:line="240" w:lineRule="auto"/>
    </w:pPr>
    <w:tblPr>
      <w:tblStyleRowBandSize w:val="1"/>
      <w:tblStyleColBandSize w:val="1"/>
      <w:tblBorders>
        <w:top w:val="single" w:color="95D8C7" w:themeColor="accent4" w:themeTint="99" w:sz="4" w:space="0"/>
        <w:bottom w:val="single" w:color="95D8C7" w:themeColor="accent4" w:themeTint="99" w:sz="4" w:space="0"/>
        <w:insideH w:val="single" w:color="95D8C7"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2-Accent5">
    <w:name w:val="List Table 2 Accent 5"/>
    <w:basedOn w:val="TableNormal"/>
    <w:uiPriority w:val="47"/>
    <w:rsid w:val="00B60586"/>
    <w:pPr>
      <w:spacing w:line="240" w:lineRule="auto"/>
    </w:pPr>
    <w:tblPr>
      <w:tblStyleRowBandSize w:val="1"/>
      <w:tblStyleColBandSize w:val="1"/>
      <w:tblBorders>
        <w:top w:val="single" w:color="C2A1CB" w:themeColor="accent5" w:themeTint="99" w:sz="4" w:space="0"/>
        <w:bottom w:val="single" w:color="C2A1CB" w:themeColor="accent5" w:themeTint="99" w:sz="4" w:space="0"/>
        <w:insideH w:val="single" w:color="C2A1CB"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2-Accent6">
    <w:name w:val="List Table 2 Accent 6"/>
    <w:basedOn w:val="TableNormal"/>
    <w:uiPriority w:val="47"/>
    <w:rsid w:val="00B60586"/>
    <w:pPr>
      <w:spacing w:line="240" w:lineRule="auto"/>
    </w:pPr>
    <w:tblPr>
      <w:tblStyleRowBandSize w:val="1"/>
      <w:tblStyleColBandSize w:val="1"/>
      <w:tblBorders>
        <w:top w:val="single" w:color="FFE2A0" w:themeColor="accent6" w:themeTint="99" w:sz="4" w:space="0"/>
        <w:bottom w:val="single" w:color="FFE2A0" w:themeColor="accent6" w:themeTint="99" w:sz="4" w:space="0"/>
        <w:insideH w:val="single" w:color="FFE2A0"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3">
    <w:name w:val="List Table 3"/>
    <w:basedOn w:val="TableNormal"/>
    <w:uiPriority w:val="48"/>
    <w:rsid w:val="00B60586"/>
    <w:pPr>
      <w:spacing w:line="240" w:lineRule="auto"/>
    </w:pPr>
    <w:tblPr>
      <w:tblStyleRowBandSize w:val="1"/>
      <w:tblStyleColBandSize w:val="1"/>
      <w:tblBorders>
        <w:top w:val="single" w:color="231F20" w:themeColor="text1" w:sz="4" w:space="0"/>
        <w:left w:val="single" w:color="231F20" w:themeColor="text1" w:sz="4" w:space="0"/>
        <w:bottom w:val="single" w:color="231F20" w:themeColor="text1" w:sz="4" w:space="0"/>
        <w:right w:val="single" w:color="231F20" w:themeColor="text1" w:sz="4" w:space="0"/>
      </w:tblBorders>
    </w:tblPr>
    <w:tblStylePr w:type="firstRow">
      <w:rPr>
        <w:b/>
        <w:bCs/>
        <w:color w:val="FFFFFF" w:themeColor="background1"/>
      </w:rPr>
      <w:tblPr/>
      <w:tcPr>
        <w:shd w:val="clear" w:color="auto" w:fill="231F20" w:themeFill="text1"/>
      </w:tcPr>
    </w:tblStylePr>
    <w:tblStylePr w:type="lastRow">
      <w:rPr>
        <w:b/>
        <w:bCs/>
      </w:rPr>
      <w:tblPr/>
      <w:tcPr>
        <w:tcBorders>
          <w:top w:val="double" w:color="231F2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231F20" w:themeColor="text1" w:sz="4" w:space="0"/>
          <w:right w:val="single" w:color="231F20" w:themeColor="text1" w:sz="4" w:space="0"/>
        </w:tcBorders>
      </w:tcPr>
    </w:tblStylePr>
    <w:tblStylePr w:type="band1Horz">
      <w:tblPr/>
      <w:tcPr>
        <w:tcBorders>
          <w:top w:val="single" w:color="231F20" w:themeColor="text1" w:sz="4" w:space="0"/>
          <w:bottom w:val="single" w:color="231F2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231F20" w:themeColor="text1" w:sz="4" w:space="0"/>
          <w:left w:val="nil"/>
        </w:tcBorders>
      </w:tcPr>
    </w:tblStylePr>
    <w:tblStylePr w:type="swCell">
      <w:tblPr/>
      <w:tcPr>
        <w:tcBorders>
          <w:top w:val="double" w:color="231F20" w:themeColor="text1" w:sz="4" w:space="0"/>
          <w:right w:val="nil"/>
        </w:tcBorders>
      </w:tcPr>
    </w:tblStylePr>
  </w:style>
  <w:style w:type="table" w:styleId="ListTable3-Accent1">
    <w:name w:val="List Table 3 Accent 1"/>
    <w:basedOn w:val="TableNormal"/>
    <w:uiPriority w:val="48"/>
    <w:rsid w:val="00B60586"/>
    <w:pPr>
      <w:spacing w:line="240" w:lineRule="auto"/>
    </w:pPr>
    <w:tblPr>
      <w:tblStyleRowBandSize w:val="1"/>
      <w:tblStyleColBandSize w:val="1"/>
      <w:tblBorders>
        <w:top w:val="single" w:color="8ACED7" w:themeColor="accent1" w:sz="4" w:space="0"/>
        <w:left w:val="single" w:color="8ACED7" w:themeColor="accent1" w:sz="4" w:space="0"/>
        <w:bottom w:val="single" w:color="8ACED7" w:themeColor="accent1" w:sz="4" w:space="0"/>
        <w:right w:val="single" w:color="8ACED7" w:themeColor="accent1" w:sz="4" w:space="0"/>
      </w:tblBorders>
    </w:tblPr>
    <w:tblStylePr w:type="firstRow">
      <w:rPr>
        <w:b/>
        <w:bCs/>
        <w:color w:val="FFFFFF" w:themeColor="background1"/>
      </w:rPr>
      <w:tblPr/>
      <w:tcPr>
        <w:shd w:val="clear" w:color="auto" w:fill="8ACED7" w:themeFill="accent1"/>
      </w:tcPr>
    </w:tblStylePr>
    <w:tblStylePr w:type="lastRow">
      <w:rPr>
        <w:b/>
        <w:bCs/>
      </w:rPr>
      <w:tblPr/>
      <w:tcPr>
        <w:tcBorders>
          <w:top w:val="double" w:color="8ACED7"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8ACED7" w:themeColor="accent1" w:sz="4" w:space="0"/>
          <w:right w:val="single" w:color="8ACED7" w:themeColor="accent1" w:sz="4" w:space="0"/>
        </w:tcBorders>
      </w:tcPr>
    </w:tblStylePr>
    <w:tblStylePr w:type="band1Horz">
      <w:tblPr/>
      <w:tcPr>
        <w:tcBorders>
          <w:top w:val="single" w:color="8ACED7" w:themeColor="accent1" w:sz="4" w:space="0"/>
          <w:bottom w:val="single" w:color="8ACED7"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8ACED7" w:themeColor="accent1" w:sz="4" w:space="0"/>
          <w:left w:val="nil"/>
        </w:tcBorders>
      </w:tcPr>
    </w:tblStylePr>
    <w:tblStylePr w:type="swCell">
      <w:tblPr/>
      <w:tcPr>
        <w:tcBorders>
          <w:top w:val="double" w:color="8ACED7" w:themeColor="accent1" w:sz="4" w:space="0"/>
          <w:right w:val="nil"/>
        </w:tcBorders>
      </w:tcPr>
    </w:tblStylePr>
  </w:style>
  <w:style w:type="table" w:styleId="ListTable3-Accent2">
    <w:name w:val="List Table 3 Accent 2"/>
    <w:basedOn w:val="TableNormal"/>
    <w:uiPriority w:val="48"/>
    <w:rsid w:val="00B60586"/>
    <w:pPr>
      <w:spacing w:line="240" w:lineRule="auto"/>
    </w:pPr>
    <w:tblPr>
      <w:tblStyleRowBandSize w:val="1"/>
      <w:tblStyleColBandSize w:val="1"/>
      <w:tblBorders>
        <w:top w:val="single" w:color="003263" w:themeColor="accent2" w:sz="4" w:space="0"/>
        <w:left w:val="single" w:color="003263" w:themeColor="accent2" w:sz="4" w:space="0"/>
        <w:bottom w:val="single" w:color="003263" w:themeColor="accent2" w:sz="4" w:space="0"/>
        <w:right w:val="single" w:color="003263" w:themeColor="accent2" w:sz="4" w:space="0"/>
      </w:tblBorders>
    </w:tblPr>
    <w:tblStylePr w:type="firstRow">
      <w:rPr>
        <w:b/>
        <w:bCs/>
        <w:color w:val="FFFFFF" w:themeColor="background1"/>
      </w:rPr>
      <w:tblPr/>
      <w:tcPr>
        <w:shd w:val="clear" w:color="auto" w:fill="003263" w:themeFill="accent2"/>
      </w:tcPr>
    </w:tblStylePr>
    <w:tblStylePr w:type="lastRow">
      <w:rPr>
        <w:b/>
        <w:bCs/>
      </w:rPr>
      <w:tblPr/>
      <w:tcPr>
        <w:tcBorders>
          <w:top w:val="double" w:color="003263"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3263" w:themeColor="accent2" w:sz="4" w:space="0"/>
          <w:right w:val="single" w:color="003263" w:themeColor="accent2" w:sz="4" w:space="0"/>
        </w:tcBorders>
      </w:tcPr>
    </w:tblStylePr>
    <w:tblStylePr w:type="band1Horz">
      <w:tblPr/>
      <w:tcPr>
        <w:tcBorders>
          <w:top w:val="single" w:color="003263" w:themeColor="accent2" w:sz="4" w:space="0"/>
          <w:bottom w:val="single" w:color="003263"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3263" w:themeColor="accent2" w:sz="4" w:space="0"/>
          <w:left w:val="nil"/>
        </w:tcBorders>
      </w:tcPr>
    </w:tblStylePr>
    <w:tblStylePr w:type="swCell">
      <w:tblPr/>
      <w:tcPr>
        <w:tcBorders>
          <w:top w:val="double" w:color="003263" w:themeColor="accent2" w:sz="4" w:space="0"/>
          <w:right w:val="nil"/>
        </w:tcBorders>
      </w:tcPr>
    </w:tblStylePr>
  </w:style>
  <w:style w:type="table" w:styleId="ListTable3-Accent3">
    <w:name w:val="List Table 3 Accent 3"/>
    <w:basedOn w:val="TableNormal"/>
    <w:uiPriority w:val="48"/>
    <w:rsid w:val="00B60586"/>
    <w:pPr>
      <w:spacing w:line="240" w:lineRule="auto"/>
    </w:pPr>
    <w:tblPr>
      <w:tblStyleRowBandSize w:val="1"/>
      <w:tblStyleColBandSize w:val="1"/>
      <w:tblBorders>
        <w:top w:val="single" w:color="F04E2D" w:themeColor="accent3" w:sz="4" w:space="0"/>
        <w:left w:val="single" w:color="F04E2D" w:themeColor="accent3" w:sz="4" w:space="0"/>
        <w:bottom w:val="single" w:color="F04E2D" w:themeColor="accent3" w:sz="4" w:space="0"/>
        <w:right w:val="single" w:color="F04E2D" w:themeColor="accent3" w:sz="4" w:space="0"/>
      </w:tblBorders>
    </w:tblPr>
    <w:tblStylePr w:type="firstRow">
      <w:rPr>
        <w:b/>
        <w:bCs/>
        <w:color w:val="FFFFFF" w:themeColor="background1"/>
      </w:rPr>
      <w:tblPr/>
      <w:tcPr>
        <w:shd w:val="clear" w:color="auto" w:fill="F04E2D" w:themeFill="accent3"/>
      </w:tcPr>
    </w:tblStylePr>
    <w:tblStylePr w:type="lastRow">
      <w:rPr>
        <w:b/>
        <w:bCs/>
      </w:rPr>
      <w:tblPr/>
      <w:tcPr>
        <w:tcBorders>
          <w:top w:val="double" w:color="F04E2D"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F04E2D" w:themeColor="accent3" w:sz="4" w:space="0"/>
          <w:right w:val="single" w:color="F04E2D" w:themeColor="accent3" w:sz="4" w:space="0"/>
        </w:tcBorders>
      </w:tcPr>
    </w:tblStylePr>
    <w:tblStylePr w:type="band1Horz">
      <w:tblPr/>
      <w:tcPr>
        <w:tcBorders>
          <w:top w:val="single" w:color="F04E2D" w:themeColor="accent3" w:sz="4" w:space="0"/>
          <w:bottom w:val="single" w:color="F04E2D"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F04E2D" w:themeColor="accent3" w:sz="4" w:space="0"/>
          <w:left w:val="nil"/>
        </w:tcBorders>
      </w:tcPr>
    </w:tblStylePr>
    <w:tblStylePr w:type="swCell">
      <w:tblPr/>
      <w:tcPr>
        <w:tcBorders>
          <w:top w:val="double" w:color="F04E2D" w:themeColor="accent3" w:sz="4" w:space="0"/>
          <w:right w:val="nil"/>
        </w:tcBorders>
      </w:tcPr>
    </w:tblStylePr>
  </w:style>
  <w:style w:type="table" w:styleId="ListTable3-Accent4">
    <w:name w:val="List Table 3 Accent 4"/>
    <w:basedOn w:val="TableNormal"/>
    <w:uiPriority w:val="48"/>
    <w:rsid w:val="00B60586"/>
    <w:pPr>
      <w:spacing w:line="240" w:lineRule="auto"/>
    </w:pPr>
    <w:tblPr>
      <w:tblStyleRowBandSize w:val="1"/>
      <w:tblStyleColBandSize w:val="1"/>
      <w:tblBorders>
        <w:top w:val="single" w:color="50BFA2" w:themeColor="accent4" w:sz="4" w:space="0"/>
        <w:left w:val="single" w:color="50BFA2" w:themeColor="accent4" w:sz="4" w:space="0"/>
        <w:bottom w:val="single" w:color="50BFA2" w:themeColor="accent4" w:sz="4" w:space="0"/>
        <w:right w:val="single" w:color="50BFA2" w:themeColor="accent4" w:sz="4" w:space="0"/>
      </w:tblBorders>
    </w:tblPr>
    <w:tblStylePr w:type="firstRow">
      <w:rPr>
        <w:b/>
        <w:bCs/>
        <w:color w:val="FFFFFF" w:themeColor="background1"/>
      </w:rPr>
      <w:tblPr/>
      <w:tcPr>
        <w:shd w:val="clear" w:color="auto" w:fill="50BFA2" w:themeFill="accent4"/>
      </w:tcPr>
    </w:tblStylePr>
    <w:tblStylePr w:type="lastRow">
      <w:rPr>
        <w:b/>
        <w:bCs/>
      </w:rPr>
      <w:tblPr/>
      <w:tcPr>
        <w:tcBorders>
          <w:top w:val="double" w:color="50BFA2"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50BFA2" w:themeColor="accent4" w:sz="4" w:space="0"/>
          <w:right w:val="single" w:color="50BFA2" w:themeColor="accent4" w:sz="4" w:space="0"/>
        </w:tcBorders>
      </w:tcPr>
    </w:tblStylePr>
    <w:tblStylePr w:type="band1Horz">
      <w:tblPr/>
      <w:tcPr>
        <w:tcBorders>
          <w:top w:val="single" w:color="50BFA2" w:themeColor="accent4" w:sz="4" w:space="0"/>
          <w:bottom w:val="single" w:color="50BFA2"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50BFA2" w:themeColor="accent4" w:sz="4" w:space="0"/>
          <w:left w:val="nil"/>
        </w:tcBorders>
      </w:tcPr>
    </w:tblStylePr>
    <w:tblStylePr w:type="swCell">
      <w:tblPr/>
      <w:tcPr>
        <w:tcBorders>
          <w:top w:val="double" w:color="50BFA2" w:themeColor="accent4" w:sz="4" w:space="0"/>
          <w:right w:val="nil"/>
        </w:tcBorders>
      </w:tcPr>
    </w:tblStylePr>
  </w:style>
  <w:style w:type="table" w:styleId="ListTable3-Accent5">
    <w:name w:val="List Table 3 Accent 5"/>
    <w:basedOn w:val="TableNormal"/>
    <w:uiPriority w:val="48"/>
    <w:rsid w:val="00B60586"/>
    <w:pPr>
      <w:spacing w:line="240" w:lineRule="auto"/>
    </w:pPr>
    <w:tblPr>
      <w:tblStyleRowBandSize w:val="1"/>
      <w:tblStyleColBandSize w:val="1"/>
      <w:tblBorders>
        <w:top w:val="single" w:color="9A64A9" w:themeColor="accent5" w:sz="4" w:space="0"/>
        <w:left w:val="single" w:color="9A64A9" w:themeColor="accent5" w:sz="4" w:space="0"/>
        <w:bottom w:val="single" w:color="9A64A9" w:themeColor="accent5" w:sz="4" w:space="0"/>
        <w:right w:val="single" w:color="9A64A9" w:themeColor="accent5" w:sz="4" w:space="0"/>
      </w:tblBorders>
    </w:tblPr>
    <w:tblStylePr w:type="firstRow">
      <w:rPr>
        <w:b/>
        <w:bCs/>
        <w:color w:val="FFFFFF" w:themeColor="background1"/>
      </w:rPr>
      <w:tblPr/>
      <w:tcPr>
        <w:shd w:val="clear" w:color="auto" w:fill="9A64A9" w:themeFill="accent5"/>
      </w:tcPr>
    </w:tblStylePr>
    <w:tblStylePr w:type="lastRow">
      <w:rPr>
        <w:b/>
        <w:bCs/>
      </w:rPr>
      <w:tblPr/>
      <w:tcPr>
        <w:tcBorders>
          <w:top w:val="double" w:color="9A64A9"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9A64A9" w:themeColor="accent5" w:sz="4" w:space="0"/>
          <w:right w:val="single" w:color="9A64A9" w:themeColor="accent5" w:sz="4" w:space="0"/>
        </w:tcBorders>
      </w:tcPr>
    </w:tblStylePr>
    <w:tblStylePr w:type="band1Horz">
      <w:tblPr/>
      <w:tcPr>
        <w:tcBorders>
          <w:top w:val="single" w:color="9A64A9" w:themeColor="accent5" w:sz="4" w:space="0"/>
          <w:bottom w:val="single" w:color="9A64A9"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9A64A9" w:themeColor="accent5" w:sz="4" w:space="0"/>
          <w:left w:val="nil"/>
        </w:tcBorders>
      </w:tcPr>
    </w:tblStylePr>
    <w:tblStylePr w:type="swCell">
      <w:tblPr/>
      <w:tcPr>
        <w:tcBorders>
          <w:top w:val="double" w:color="9A64A9" w:themeColor="accent5" w:sz="4" w:space="0"/>
          <w:right w:val="nil"/>
        </w:tcBorders>
      </w:tcPr>
    </w:tblStylePr>
  </w:style>
  <w:style w:type="table" w:styleId="ListTable3-Accent6">
    <w:name w:val="List Table 3 Accent 6"/>
    <w:basedOn w:val="TableNormal"/>
    <w:uiPriority w:val="48"/>
    <w:rsid w:val="00B60586"/>
    <w:pPr>
      <w:spacing w:line="240" w:lineRule="auto"/>
    </w:pPr>
    <w:tblPr>
      <w:tblStyleRowBandSize w:val="1"/>
      <w:tblStyleColBandSize w:val="1"/>
      <w:tblBorders>
        <w:top w:val="single" w:color="FFCF62" w:themeColor="accent6" w:sz="4" w:space="0"/>
        <w:left w:val="single" w:color="FFCF62" w:themeColor="accent6" w:sz="4" w:space="0"/>
        <w:bottom w:val="single" w:color="FFCF62" w:themeColor="accent6" w:sz="4" w:space="0"/>
        <w:right w:val="single" w:color="FFCF62" w:themeColor="accent6" w:sz="4" w:space="0"/>
      </w:tblBorders>
    </w:tblPr>
    <w:tblStylePr w:type="firstRow">
      <w:rPr>
        <w:b/>
        <w:bCs/>
        <w:color w:val="FFFFFF" w:themeColor="background1"/>
      </w:rPr>
      <w:tblPr/>
      <w:tcPr>
        <w:shd w:val="clear" w:color="auto" w:fill="FFCF62" w:themeFill="accent6"/>
      </w:tcPr>
    </w:tblStylePr>
    <w:tblStylePr w:type="lastRow">
      <w:rPr>
        <w:b/>
        <w:bCs/>
      </w:rPr>
      <w:tblPr/>
      <w:tcPr>
        <w:tcBorders>
          <w:top w:val="double" w:color="FFCF62"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FFCF62" w:themeColor="accent6" w:sz="4" w:space="0"/>
          <w:right w:val="single" w:color="FFCF62" w:themeColor="accent6" w:sz="4" w:space="0"/>
        </w:tcBorders>
      </w:tcPr>
    </w:tblStylePr>
    <w:tblStylePr w:type="band1Horz">
      <w:tblPr/>
      <w:tcPr>
        <w:tcBorders>
          <w:top w:val="single" w:color="FFCF62" w:themeColor="accent6" w:sz="4" w:space="0"/>
          <w:bottom w:val="single" w:color="FFCF62"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FFCF62" w:themeColor="accent6" w:sz="4" w:space="0"/>
          <w:left w:val="nil"/>
        </w:tcBorders>
      </w:tcPr>
    </w:tblStylePr>
    <w:tblStylePr w:type="swCell">
      <w:tblPr/>
      <w:tcPr>
        <w:tcBorders>
          <w:top w:val="double" w:color="FFCF62" w:themeColor="accent6" w:sz="4" w:space="0"/>
          <w:right w:val="nil"/>
        </w:tcBorders>
      </w:tcPr>
    </w:tblStylePr>
  </w:style>
  <w:style w:type="table" w:styleId="ListTable4">
    <w:name w:val="List Table 4"/>
    <w:basedOn w:val="TableNormal"/>
    <w:uiPriority w:val="49"/>
    <w:rsid w:val="00B60586"/>
    <w:pPr>
      <w:spacing w:line="240" w:lineRule="auto"/>
    </w:pPr>
    <w:tblPr>
      <w:tblStyleRowBandSize w:val="1"/>
      <w:tblStyleColBandSize w:val="1"/>
      <w:tblBorders>
        <w:top w:val="single" w:color="807276" w:themeColor="text1" w:themeTint="99" w:sz="4" w:space="0"/>
        <w:left w:val="single" w:color="807276" w:themeColor="text1" w:themeTint="99" w:sz="4" w:space="0"/>
        <w:bottom w:val="single" w:color="807276" w:themeColor="text1" w:themeTint="99" w:sz="4" w:space="0"/>
        <w:right w:val="single" w:color="807276" w:themeColor="text1" w:themeTint="99" w:sz="4" w:space="0"/>
        <w:insideH w:val="single" w:color="807276" w:themeColor="text1" w:themeTint="99" w:sz="4" w:space="0"/>
      </w:tblBorders>
    </w:tblPr>
    <w:tblStylePr w:type="firstRow">
      <w:rPr>
        <w:b/>
        <w:bCs/>
        <w:color w:val="FFFFFF" w:themeColor="background1"/>
      </w:rPr>
      <w:tblPr/>
      <w:tcPr>
        <w:tcBorders>
          <w:top w:val="single" w:color="231F20" w:themeColor="text1" w:sz="4" w:space="0"/>
          <w:left w:val="single" w:color="231F20" w:themeColor="text1" w:sz="4" w:space="0"/>
          <w:bottom w:val="single" w:color="231F20" w:themeColor="text1" w:sz="4" w:space="0"/>
          <w:right w:val="single" w:color="231F20" w:themeColor="text1" w:sz="4" w:space="0"/>
          <w:insideH w:val="nil"/>
        </w:tcBorders>
        <w:shd w:val="clear" w:color="auto" w:fill="231F20" w:themeFill="text1"/>
      </w:tcPr>
    </w:tblStylePr>
    <w:tblStylePr w:type="lastRow">
      <w:rPr>
        <w:b/>
        <w:bCs/>
      </w:rPr>
      <w:tblPr/>
      <w:tcPr>
        <w:tcBorders>
          <w:top w:val="double" w:color="807276" w:themeColor="text1" w:themeTint="99" w:sz="4" w:space="0"/>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rsid w:val="00B60586"/>
    <w:pPr>
      <w:spacing w:line="240" w:lineRule="auto"/>
    </w:pPr>
    <w:tblPr>
      <w:tblStyleRowBandSize w:val="1"/>
      <w:tblStyleColBandSize w:val="1"/>
      <w:tblBorders>
        <w:top w:val="single" w:color="B8E1E7" w:themeColor="accent1" w:themeTint="99" w:sz="4" w:space="0"/>
        <w:left w:val="single" w:color="B8E1E7" w:themeColor="accent1" w:themeTint="99" w:sz="4" w:space="0"/>
        <w:bottom w:val="single" w:color="B8E1E7" w:themeColor="accent1" w:themeTint="99" w:sz="4" w:space="0"/>
        <w:right w:val="single" w:color="B8E1E7" w:themeColor="accent1" w:themeTint="99" w:sz="4" w:space="0"/>
        <w:insideH w:val="single" w:color="B8E1E7" w:themeColor="accent1" w:themeTint="99" w:sz="4" w:space="0"/>
      </w:tblBorders>
    </w:tblPr>
    <w:tblStylePr w:type="firstRow">
      <w:rPr>
        <w:b/>
        <w:bCs/>
        <w:color w:val="FFFFFF" w:themeColor="background1"/>
      </w:rPr>
      <w:tblPr/>
      <w:tcPr>
        <w:tcBorders>
          <w:top w:val="single" w:color="8ACED7" w:themeColor="accent1" w:sz="4" w:space="0"/>
          <w:left w:val="single" w:color="8ACED7" w:themeColor="accent1" w:sz="4" w:space="0"/>
          <w:bottom w:val="single" w:color="8ACED7" w:themeColor="accent1" w:sz="4" w:space="0"/>
          <w:right w:val="single" w:color="8ACED7" w:themeColor="accent1" w:sz="4" w:space="0"/>
          <w:insideH w:val="nil"/>
        </w:tcBorders>
        <w:shd w:val="clear" w:color="auto" w:fill="8ACED7" w:themeFill="accent1"/>
      </w:tcPr>
    </w:tblStylePr>
    <w:tblStylePr w:type="lastRow">
      <w:rPr>
        <w:b/>
        <w:bCs/>
      </w:rPr>
      <w:tblPr/>
      <w:tcPr>
        <w:tcBorders>
          <w:top w:val="double" w:color="B8E1E7" w:themeColor="accent1" w:themeTint="99" w:sz="4" w:space="0"/>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rsid w:val="00B60586"/>
    <w:pPr>
      <w:spacing w:line="240" w:lineRule="auto"/>
    </w:pPr>
    <w:tblPr>
      <w:tblStyleRowBandSize w:val="1"/>
      <w:tblStyleColBandSize w:val="1"/>
      <w:tblBorders>
        <w:top w:val="single" w:color="0884FF" w:themeColor="accent2" w:themeTint="99" w:sz="4" w:space="0"/>
        <w:left w:val="single" w:color="0884FF" w:themeColor="accent2" w:themeTint="99" w:sz="4" w:space="0"/>
        <w:bottom w:val="single" w:color="0884FF" w:themeColor="accent2" w:themeTint="99" w:sz="4" w:space="0"/>
        <w:right w:val="single" w:color="0884FF" w:themeColor="accent2" w:themeTint="99" w:sz="4" w:space="0"/>
        <w:insideH w:val="single" w:color="0884FF" w:themeColor="accent2" w:themeTint="99" w:sz="4" w:space="0"/>
      </w:tblBorders>
    </w:tblPr>
    <w:tblStylePr w:type="firstRow">
      <w:rPr>
        <w:b/>
        <w:bCs/>
        <w:color w:val="FFFFFF" w:themeColor="background1"/>
      </w:rPr>
      <w:tblPr/>
      <w:tcPr>
        <w:tcBorders>
          <w:top w:val="single" w:color="003263" w:themeColor="accent2" w:sz="4" w:space="0"/>
          <w:left w:val="single" w:color="003263" w:themeColor="accent2" w:sz="4" w:space="0"/>
          <w:bottom w:val="single" w:color="003263" w:themeColor="accent2" w:sz="4" w:space="0"/>
          <w:right w:val="single" w:color="003263" w:themeColor="accent2" w:sz="4" w:space="0"/>
          <w:insideH w:val="nil"/>
        </w:tcBorders>
        <w:shd w:val="clear" w:color="auto" w:fill="003263" w:themeFill="accent2"/>
      </w:tcPr>
    </w:tblStylePr>
    <w:tblStylePr w:type="lastRow">
      <w:rPr>
        <w:b/>
        <w:bCs/>
      </w:rPr>
      <w:tblPr/>
      <w:tcPr>
        <w:tcBorders>
          <w:top w:val="double" w:color="0884FF" w:themeColor="accent2" w:themeTint="99" w:sz="4" w:space="0"/>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4-Accent3">
    <w:name w:val="List Table 4 Accent 3"/>
    <w:basedOn w:val="TableNormal"/>
    <w:uiPriority w:val="49"/>
    <w:rsid w:val="00B60586"/>
    <w:pPr>
      <w:spacing w:line="240" w:lineRule="auto"/>
    </w:pPr>
    <w:tblPr>
      <w:tblStyleRowBandSize w:val="1"/>
      <w:tblStyleColBandSize w:val="1"/>
      <w:tblBorders>
        <w:top w:val="single" w:color="F69481" w:themeColor="accent3" w:themeTint="99" w:sz="4" w:space="0"/>
        <w:left w:val="single" w:color="F69481" w:themeColor="accent3" w:themeTint="99" w:sz="4" w:space="0"/>
        <w:bottom w:val="single" w:color="F69481" w:themeColor="accent3" w:themeTint="99" w:sz="4" w:space="0"/>
        <w:right w:val="single" w:color="F69481" w:themeColor="accent3" w:themeTint="99" w:sz="4" w:space="0"/>
        <w:insideH w:val="single" w:color="F69481" w:themeColor="accent3" w:themeTint="99" w:sz="4" w:space="0"/>
      </w:tblBorders>
    </w:tblPr>
    <w:tblStylePr w:type="firstRow">
      <w:rPr>
        <w:b/>
        <w:bCs/>
        <w:color w:val="FFFFFF" w:themeColor="background1"/>
      </w:rPr>
      <w:tblPr/>
      <w:tcPr>
        <w:tcBorders>
          <w:top w:val="single" w:color="F04E2D" w:themeColor="accent3" w:sz="4" w:space="0"/>
          <w:left w:val="single" w:color="F04E2D" w:themeColor="accent3" w:sz="4" w:space="0"/>
          <w:bottom w:val="single" w:color="F04E2D" w:themeColor="accent3" w:sz="4" w:space="0"/>
          <w:right w:val="single" w:color="F04E2D" w:themeColor="accent3" w:sz="4" w:space="0"/>
          <w:insideH w:val="nil"/>
        </w:tcBorders>
        <w:shd w:val="clear" w:color="auto" w:fill="F04E2D" w:themeFill="accent3"/>
      </w:tcPr>
    </w:tblStylePr>
    <w:tblStylePr w:type="lastRow">
      <w:rPr>
        <w:b/>
        <w:bCs/>
      </w:rPr>
      <w:tblPr/>
      <w:tcPr>
        <w:tcBorders>
          <w:top w:val="double" w:color="F69481" w:themeColor="accent3" w:themeTint="99" w:sz="4" w:space="0"/>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4-Accent4">
    <w:name w:val="List Table 4 Accent 4"/>
    <w:basedOn w:val="TableNormal"/>
    <w:uiPriority w:val="49"/>
    <w:rsid w:val="00B60586"/>
    <w:pPr>
      <w:spacing w:line="240" w:lineRule="auto"/>
    </w:pPr>
    <w:tblPr>
      <w:tblStyleRowBandSize w:val="1"/>
      <w:tblStyleColBandSize w:val="1"/>
      <w:tblBorders>
        <w:top w:val="single" w:color="95D8C7" w:themeColor="accent4" w:themeTint="99" w:sz="4" w:space="0"/>
        <w:left w:val="single" w:color="95D8C7" w:themeColor="accent4" w:themeTint="99" w:sz="4" w:space="0"/>
        <w:bottom w:val="single" w:color="95D8C7" w:themeColor="accent4" w:themeTint="99" w:sz="4" w:space="0"/>
        <w:right w:val="single" w:color="95D8C7" w:themeColor="accent4" w:themeTint="99" w:sz="4" w:space="0"/>
        <w:insideH w:val="single" w:color="95D8C7" w:themeColor="accent4" w:themeTint="99" w:sz="4" w:space="0"/>
      </w:tblBorders>
    </w:tblPr>
    <w:tblStylePr w:type="firstRow">
      <w:rPr>
        <w:b/>
        <w:bCs/>
        <w:color w:val="FFFFFF" w:themeColor="background1"/>
      </w:rPr>
      <w:tblPr/>
      <w:tcPr>
        <w:tcBorders>
          <w:top w:val="single" w:color="50BFA2" w:themeColor="accent4" w:sz="4" w:space="0"/>
          <w:left w:val="single" w:color="50BFA2" w:themeColor="accent4" w:sz="4" w:space="0"/>
          <w:bottom w:val="single" w:color="50BFA2" w:themeColor="accent4" w:sz="4" w:space="0"/>
          <w:right w:val="single" w:color="50BFA2" w:themeColor="accent4" w:sz="4" w:space="0"/>
          <w:insideH w:val="nil"/>
        </w:tcBorders>
        <w:shd w:val="clear" w:color="auto" w:fill="50BFA2" w:themeFill="accent4"/>
      </w:tcPr>
    </w:tblStylePr>
    <w:tblStylePr w:type="lastRow">
      <w:rPr>
        <w:b/>
        <w:bCs/>
      </w:rPr>
      <w:tblPr/>
      <w:tcPr>
        <w:tcBorders>
          <w:top w:val="double" w:color="95D8C7" w:themeColor="accent4" w:themeTint="99" w:sz="4" w:space="0"/>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4-Accent5">
    <w:name w:val="List Table 4 Accent 5"/>
    <w:basedOn w:val="TableNormal"/>
    <w:uiPriority w:val="49"/>
    <w:rsid w:val="00B60586"/>
    <w:pPr>
      <w:spacing w:line="240" w:lineRule="auto"/>
    </w:pPr>
    <w:tblPr>
      <w:tblStyleRowBandSize w:val="1"/>
      <w:tblStyleColBandSize w:val="1"/>
      <w:tblBorders>
        <w:top w:val="single" w:color="C2A1CB" w:themeColor="accent5" w:themeTint="99" w:sz="4" w:space="0"/>
        <w:left w:val="single" w:color="C2A1CB" w:themeColor="accent5" w:themeTint="99" w:sz="4" w:space="0"/>
        <w:bottom w:val="single" w:color="C2A1CB" w:themeColor="accent5" w:themeTint="99" w:sz="4" w:space="0"/>
        <w:right w:val="single" w:color="C2A1CB" w:themeColor="accent5" w:themeTint="99" w:sz="4" w:space="0"/>
        <w:insideH w:val="single" w:color="C2A1CB" w:themeColor="accent5" w:themeTint="99" w:sz="4" w:space="0"/>
      </w:tblBorders>
    </w:tblPr>
    <w:tblStylePr w:type="firstRow">
      <w:rPr>
        <w:b/>
        <w:bCs/>
        <w:color w:val="FFFFFF" w:themeColor="background1"/>
      </w:rPr>
      <w:tblPr/>
      <w:tcPr>
        <w:tcBorders>
          <w:top w:val="single" w:color="9A64A9" w:themeColor="accent5" w:sz="4" w:space="0"/>
          <w:left w:val="single" w:color="9A64A9" w:themeColor="accent5" w:sz="4" w:space="0"/>
          <w:bottom w:val="single" w:color="9A64A9" w:themeColor="accent5" w:sz="4" w:space="0"/>
          <w:right w:val="single" w:color="9A64A9" w:themeColor="accent5" w:sz="4" w:space="0"/>
          <w:insideH w:val="nil"/>
        </w:tcBorders>
        <w:shd w:val="clear" w:color="auto" w:fill="9A64A9" w:themeFill="accent5"/>
      </w:tcPr>
    </w:tblStylePr>
    <w:tblStylePr w:type="lastRow">
      <w:rPr>
        <w:b/>
        <w:bCs/>
      </w:rPr>
      <w:tblPr/>
      <w:tcPr>
        <w:tcBorders>
          <w:top w:val="double" w:color="C2A1CB" w:themeColor="accent5" w:themeTint="99" w:sz="4" w:space="0"/>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4-Accent6">
    <w:name w:val="List Table 4 Accent 6"/>
    <w:basedOn w:val="TableNormal"/>
    <w:uiPriority w:val="49"/>
    <w:rsid w:val="00B60586"/>
    <w:pPr>
      <w:spacing w:line="240" w:lineRule="auto"/>
    </w:pPr>
    <w:tblPr>
      <w:tblStyleRowBandSize w:val="1"/>
      <w:tblStyleColBandSize w:val="1"/>
      <w:tblBorders>
        <w:top w:val="single" w:color="FFE2A0" w:themeColor="accent6" w:themeTint="99" w:sz="4" w:space="0"/>
        <w:left w:val="single" w:color="FFE2A0" w:themeColor="accent6" w:themeTint="99" w:sz="4" w:space="0"/>
        <w:bottom w:val="single" w:color="FFE2A0" w:themeColor="accent6" w:themeTint="99" w:sz="4" w:space="0"/>
        <w:right w:val="single" w:color="FFE2A0" w:themeColor="accent6" w:themeTint="99" w:sz="4" w:space="0"/>
        <w:insideH w:val="single" w:color="FFE2A0" w:themeColor="accent6" w:themeTint="99" w:sz="4" w:space="0"/>
      </w:tblBorders>
    </w:tblPr>
    <w:tblStylePr w:type="firstRow">
      <w:rPr>
        <w:b/>
        <w:bCs/>
        <w:color w:val="FFFFFF" w:themeColor="background1"/>
      </w:rPr>
      <w:tblPr/>
      <w:tcPr>
        <w:tcBorders>
          <w:top w:val="single" w:color="FFCF62" w:themeColor="accent6" w:sz="4" w:space="0"/>
          <w:left w:val="single" w:color="FFCF62" w:themeColor="accent6" w:sz="4" w:space="0"/>
          <w:bottom w:val="single" w:color="FFCF62" w:themeColor="accent6" w:sz="4" w:space="0"/>
          <w:right w:val="single" w:color="FFCF62" w:themeColor="accent6" w:sz="4" w:space="0"/>
          <w:insideH w:val="nil"/>
        </w:tcBorders>
        <w:shd w:val="clear" w:color="auto" w:fill="FFCF62" w:themeFill="accent6"/>
      </w:tcPr>
    </w:tblStylePr>
    <w:tblStylePr w:type="lastRow">
      <w:rPr>
        <w:b/>
        <w:bCs/>
      </w:rPr>
      <w:tblPr/>
      <w:tcPr>
        <w:tcBorders>
          <w:top w:val="double" w:color="FFE2A0" w:themeColor="accent6" w:themeTint="99" w:sz="4" w:space="0"/>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5Dark">
    <w:name w:val="List Table 5 Dark"/>
    <w:basedOn w:val="TableNormal"/>
    <w:uiPriority w:val="50"/>
    <w:rsid w:val="00B60586"/>
    <w:pPr>
      <w:spacing w:line="240" w:lineRule="auto"/>
    </w:pPr>
    <w:rPr>
      <w:color w:val="FFFFFF" w:themeColor="background1"/>
    </w:rPr>
    <w:tblPr>
      <w:tblStyleRowBandSize w:val="1"/>
      <w:tblStyleColBandSize w:val="1"/>
      <w:tblBorders>
        <w:top w:val="single" w:color="231F20" w:themeColor="text1" w:sz="24" w:space="0"/>
        <w:left w:val="single" w:color="231F20" w:themeColor="text1" w:sz="24" w:space="0"/>
        <w:bottom w:val="single" w:color="231F20" w:themeColor="text1" w:sz="24" w:space="0"/>
        <w:right w:val="single" w:color="231F20" w:themeColor="text1" w:sz="24" w:space="0"/>
      </w:tblBorders>
    </w:tblPr>
    <w:tcPr>
      <w:shd w:val="clear" w:color="auto" w:fill="231F20"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60586"/>
    <w:pPr>
      <w:spacing w:line="240" w:lineRule="auto"/>
    </w:pPr>
    <w:rPr>
      <w:color w:val="FFFFFF" w:themeColor="background1"/>
    </w:rPr>
    <w:tblPr>
      <w:tblStyleRowBandSize w:val="1"/>
      <w:tblStyleColBandSize w:val="1"/>
      <w:tblBorders>
        <w:top w:val="single" w:color="8ACED7" w:themeColor="accent1" w:sz="24" w:space="0"/>
        <w:left w:val="single" w:color="8ACED7" w:themeColor="accent1" w:sz="24" w:space="0"/>
        <w:bottom w:val="single" w:color="8ACED7" w:themeColor="accent1" w:sz="24" w:space="0"/>
        <w:right w:val="single" w:color="8ACED7" w:themeColor="accent1" w:sz="24" w:space="0"/>
      </w:tblBorders>
    </w:tblPr>
    <w:tcPr>
      <w:shd w:val="clear" w:color="auto" w:fill="8ACED7"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60586"/>
    <w:pPr>
      <w:spacing w:line="240" w:lineRule="auto"/>
    </w:pPr>
    <w:rPr>
      <w:color w:val="FFFFFF" w:themeColor="background1"/>
    </w:rPr>
    <w:tblPr>
      <w:tblStyleRowBandSize w:val="1"/>
      <w:tblStyleColBandSize w:val="1"/>
      <w:tblBorders>
        <w:top w:val="single" w:color="003263" w:themeColor="accent2" w:sz="24" w:space="0"/>
        <w:left w:val="single" w:color="003263" w:themeColor="accent2" w:sz="24" w:space="0"/>
        <w:bottom w:val="single" w:color="003263" w:themeColor="accent2" w:sz="24" w:space="0"/>
        <w:right w:val="single" w:color="003263" w:themeColor="accent2" w:sz="24" w:space="0"/>
      </w:tblBorders>
    </w:tblPr>
    <w:tcPr>
      <w:shd w:val="clear" w:color="auto" w:fill="003263"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60586"/>
    <w:pPr>
      <w:spacing w:line="240" w:lineRule="auto"/>
    </w:pPr>
    <w:rPr>
      <w:color w:val="FFFFFF" w:themeColor="background1"/>
    </w:rPr>
    <w:tblPr>
      <w:tblStyleRowBandSize w:val="1"/>
      <w:tblStyleColBandSize w:val="1"/>
      <w:tblBorders>
        <w:top w:val="single" w:color="F04E2D" w:themeColor="accent3" w:sz="24" w:space="0"/>
        <w:left w:val="single" w:color="F04E2D" w:themeColor="accent3" w:sz="24" w:space="0"/>
        <w:bottom w:val="single" w:color="F04E2D" w:themeColor="accent3" w:sz="24" w:space="0"/>
        <w:right w:val="single" w:color="F04E2D" w:themeColor="accent3" w:sz="24" w:space="0"/>
      </w:tblBorders>
    </w:tblPr>
    <w:tcPr>
      <w:shd w:val="clear" w:color="auto" w:fill="F04E2D"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60586"/>
    <w:pPr>
      <w:spacing w:line="240" w:lineRule="auto"/>
    </w:pPr>
    <w:rPr>
      <w:color w:val="FFFFFF" w:themeColor="background1"/>
    </w:rPr>
    <w:tblPr>
      <w:tblStyleRowBandSize w:val="1"/>
      <w:tblStyleColBandSize w:val="1"/>
      <w:tblBorders>
        <w:top w:val="single" w:color="50BFA2" w:themeColor="accent4" w:sz="24" w:space="0"/>
        <w:left w:val="single" w:color="50BFA2" w:themeColor="accent4" w:sz="24" w:space="0"/>
        <w:bottom w:val="single" w:color="50BFA2" w:themeColor="accent4" w:sz="24" w:space="0"/>
        <w:right w:val="single" w:color="50BFA2" w:themeColor="accent4" w:sz="24" w:space="0"/>
      </w:tblBorders>
    </w:tblPr>
    <w:tcPr>
      <w:shd w:val="clear" w:color="auto" w:fill="50BFA2"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60586"/>
    <w:pPr>
      <w:spacing w:line="240" w:lineRule="auto"/>
    </w:pPr>
    <w:rPr>
      <w:color w:val="FFFFFF" w:themeColor="background1"/>
    </w:rPr>
    <w:tblPr>
      <w:tblStyleRowBandSize w:val="1"/>
      <w:tblStyleColBandSize w:val="1"/>
      <w:tblBorders>
        <w:top w:val="single" w:color="9A64A9" w:themeColor="accent5" w:sz="24" w:space="0"/>
        <w:left w:val="single" w:color="9A64A9" w:themeColor="accent5" w:sz="24" w:space="0"/>
        <w:bottom w:val="single" w:color="9A64A9" w:themeColor="accent5" w:sz="24" w:space="0"/>
        <w:right w:val="single" w:color="9A64A9" w:themeColor="accent5" w:sz="24" w:space="0"/>
      </w:tblBorders>
    </w:tblPr>
    <w:tcPr>
      <w:shd w:val="clear" w:color="auto" w:fill="9A64A9"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60586"/>
    <w:pPr>
      <w:spacing w:line="240" w:lineRule="auto"/>
    </w:pPr>
    <w:rPr>
      <w:color w:val="FFFFFF" w:themeColor="background1"/>
    </w:rPr>
    <w:tblPr>
      <w:tblStyleRowBandSize w:val="1"/>
      <w:tblStyleColBandSize w:val="1"/>
      <w:tblBorders>
        <w:top w:val="single" w:color="FFCF62" w:themeColor="accent6" w:sz="24" w:space="0"/>
        <w:left w:val="single" w:color="FFCF62" w:themeColor="accent6" w:sz="24" w:space="0"/>
        <w:bottom w:val="single" w:color="FFCF62" w:themeColor="accent6" w:sz="24" w:space="0"/>
        <w:right w:val="single" w:color="FFCF62" w:themeColor="accent6" w:sz="24" w:space="0"/>
      </w:tblBorders>
    </w:tblPr>
    <w:tcPr>
      <w:shd w:val="clear" w:color="auto" w:fill="FFCF62"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B60586"/>
    <w:pPr>
      <w:spacing w:line="240" w:lineRule="auto"/>
    </w:pPr>
    <w:rPr>
      <w:color w:val="231F20" w:themeColor="text1"/>
    </w:rPr>
    <w:tblPr>
      <w:tblStyleRowBandSize w:val="1"/>
      <w:tblStyleColBandSize w:val="1"/>
      <w:tblBorders>
        <w:top w:val="single" w:color="231F20" w:themeColor="text1" w:sz="4" w:space="0"/>
        <w:bottom w:val="single" w:color="231F20" w:themeColor="text1" w:sz="4" w:space="0"/>
      </w:tblBorders>
    </w:tblPr>
    <w:tblStylePr w:type="firstRow">
      <w:rPr>
        <w:b/>
        <w:bCs/>
      </w:rPr>
      <w:tblPr/>
      <w:tcPr>
        <w:tcBorders>
          <w:bottom w:val="single" w:color="231F20" w:themeColor="text1" w:sz="4" w:space="0"/>
        </w:tcBorders>
      </w:tcPr>
    </w:tblStylePr>
    <w:tblStylePr w:type="lastRow">
      <w:rPr>
        <w:b/>
        <w:bCs/>
      </w:rPr>
      <w:tblPr/>
      <w:tcPr>
        <w:tcBorders>
          <w:top w:val="double" w:color="231F20" w:themeColor="text1" w:sz="4" w:space="0"/>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rsid w:val="00B60586"/>
    <w:pPr>
      <w:spacing w:line="240" w:lineRule="auto"/>
    </w:pPr>
    <w:rPr>
      <w:color w:val="47B2C0" w:themeColor="accent1" w:themeShade="BF"/>
    </w:rPr>
    <w:tblPr>
      <w:tblStyleRowBandSize w:val="1"/>
      <w:tblStyleColBandSize w:val="1"/>
      <w:tblBorders>
        <w:top w:val="single" w:color="8ACED7" w:themeColor="accent1" w:sz="4" w:space="0"/>
        <w:bottom w:val="single" w:color="8ACED7" w:themeColor="accent1" w:sz="4" w:space="0"/>
      </w:tblBorders>
    </w:tblPr>
    <w:tblStylePr w:type="firstRow">
      <w:rPr>
        <w:b/>
        <w:bCs/>
      </w:rPr>
      <w:tblPr/>
      <w:tcPr>
        <w:tcBorders>
          <w:bottom w:val="single" w:color="8ACED7" w:themeColor="accent1" w:sz="4" w:space="0"/>
        </w:tcBorders>
      </w:tcPr>
    </w:tblStylePr>
    <w:tblStylePr w:type="lastRow">
      <w:rPr>
        <w:b/>
        <w:bCs/>
      </w:rPr>
      <w:tblPr/>
      <w:tcPr>
        <w:tcBorders>
          <w:top w:val="double" w:color="8ACED7" w:themeColor="accent1" w:sz="4" w:space="0"/>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rsid w:val="00B60586"/>
    <w:pPr>
      <w:spacing w:line="240" w:lineRule="auto"/>
    </w:pPr>
    <w:rPr>
      <w:color w:val="00254A" w:themeColor="accent2" w:themeShade="BF"/>
    </w:rPr>
    <w:tblPr>
      <w:tblStyleRowBandSize w:val="1"/>
      <w:tblStyleColBandSize w:val="1"/>
      <w:tblBorders>
        <w:top w:val="single" w:color="003263" w:themeColor="accent2" w:sz="4" w:space="0"/>
        <w:bottom w:val="single" w:color="003263" w:themeColor="accent2" w:sz="4" w:space="0"/>
      </w:tblBorders>
    </w:tblPr>
    <w:tblStylePr w:type="firstRow">
      <w:rPr>
        <w:b/>
        <w:bCs/>
      </w:rPr>
      <w:tblPr/>
      <w:tcPr>
        <w:tcBorders>
          <w:bottom w:val="single" w:color="003263" w:themeColor="accent2" w:sz="4" w:space="0"/>
        </w:tcBorders>
      </w:tcPr>
    </w:tblStylePr>
    <w:tblStylePr w:type="lastRow">
      <w:rPr>
        <w:b/>
        <w:bCs/>
      </w:rPr>
      <w:tblPr/>
      <w:tcPr>
        <w:tcBorders>
          <w:top w:val="double" w:color="003263" w:themeColor="accent2" w:sz="4" w:space="0"/>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6Colorful-Accent3">
    <w:name w:val="List Table 6 Colorful Accent 3"/>
    <w:basedOn w:val="TableNormal"/>
    <w:uiPriority w:val="51"/>
    <w:rsid w:val="00B60586"/>
    <w:pPr>
      <w:spacing w:line="240" w:lineRule="auto"/>
    </w:pPr>
    <w:rPr>
      <w:color w:val="C72D0E" w:themeColor="accent3" w:themeShade="BF"/>
    </w:rPr>
    <w:tblPr>
      <w:tblStyleRowBandSize w:val="1"/>
      <w:tblStyleColBandSize w:val="1"/>
      <w:tblBorders>
        <w:top w:val="single" w:color="F04E2D" w:themeColor="accent3" w:sz="4" w:space="0"/>
        <w:bottom w:val="single" w:color="F04E2D" w:themeColor="accent3" w:sz="4" w:space="0"/>
      </w:tblBorders>
    </w:tblPr>
    <w:tblStylePr w:type="firstRow">
      <w:rPr>
        <w:b/>
        <w:bCs/>
      </w:rPr>
      <w:tblPr/>
      <w:tcPr>
        <w:tcBorders>
          <w:bottom w:val="single" w:color="F04E2D" w:themeColor="accent3" w:sz="4" w:space="0"/>
        </w:tcBorders>
      </w:tcPr>
    </w:tblStylePr>
    <w:tblStylePr w:type="lastRow">
      <w:rPr>
        <w:b/>
        <w:bCs/>
      </w:rPr>
      <w:tblPr/>
      <w:tcPr>
        <w:tcBorders>
          <w:top w:val="double" w:color="F04E2D" w:themeColor="accent3" w:sz="4" w:space="0"/>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6Colorful-Accent4">
    <w:name w:val="List Table 6 Colorful Accent 4"/>
    <w:basedOn w:val="TableNormal"/>
    <w:uiPriority w:val="51"/>
    <w:rsid w:val="00B60586"/>
    <w:pPr>
      <w:spacing w:line="240" w:lineRule="auto"/>
    </w:pPr>
    <w:rPr>
      <w:color w:val="36947B" w:themeColor="accent4" w:themeShade="BF"/>
    </w:rPr>
    <w:tblPr>
      <w:tblStyleRowBandSize w:val="1"/>
      <w:tblStyleColBandSize w:val="1"/>
      <w:tblBorders>
        <w:top w:val="single" w:color="50BFA2" w:themeColor="accent4" w:sz="4" w:space="0"/>
        <w:bottom w:val="single" w:color="50BFA2" w:themeColor="accent4" w:sz="4" w:space="0"/>
      </w:tblBorders>
    </w:tblPr>
    <w:tblStylePr w:type="firstRow">
      <w:rPr>
        <w:b/>
        <w:bCs/>
      </w:rPr>
      <w:tblPr/>
      <w:tcPr>
        <w:tcBorders>
          <w:bottom w:val="single" w:color="50BFA2" w:themeColor="accent4" w:sz="4" w:space="0"/>
        </w:tcBorders>
      </w:tcPr>
    </w:tblStylePr>
    <w:tblStylePr w:type="lastRow">
      <w:rPr>
        <w:b/>
        <w:bCs/>
      </w:rPr>
      <w:tblPr/>
      <w:tcPr>
        <w:tcBorders>
          <w:top w:val="double" w:color="50BFA2" w:themeColor="accent4" w:sz="4" w:space="0"/>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6Colorful-Accent5">
    <w:name w:val="List Table 6 Colorful Accent 5"/>
    <w:basedOn w:val="TableNormal"/>
    <w:uiPriority w:val="51"/>
    <w:rsid w:val="00B60586"/>
    <w:pPr>
      <w:spacing w:line="240" w:lineRule="auto"/>
    </w:pPr>
    <w:rPr>
      <w:color w:val="744881" w:themeColor="accent5" w:themeShade="BF"/>
    </w:rPr>
    <w:tblPr>
      <w:tblStyleRowBandSize w:val="1"/>
      <w:tblStyleColBandSize w:val="1"/>
      <w:tblBorders>
        <w:top w:val="single" w:color="9A64A9" w:themeColor="accent5" w:sz="4" w:space="0"/>
        <w:bottom w:val="single" w:color="9A64A9" w:themeColor="accent5" w:sz="4" w:space="0"/>
      </w:tblBorders>
    </w:tblPr>
    <w:tblStylePr w:type="firstRow">
      <w:rPr>
        <w:b/>
        <w:bCs/>
      </w:rPr>
      <w:tblPr/>
      <w:tcPr>
        <w:tcBorders>
          <w:bottom w:val="single" w:color="9A64A9" w:themeColor="accent5" w:sz="4" w:space="0"/>
        </w:tcBorders>
      </w:tcPr>
    </w:tblStylePr>
    <w:tblStylePr w:type="lastRow">
      <w:rPr>
        <w:b/>
        <w:bCs/>
      </w:rPr>
      <w:tblPr/>
      <w:tcPr>
        <w:tcBorders>
          <w:top w:val="double" w:color="9A64A9" w:themeColor="accent5" w:sz="4" w:space="0"/>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6Colorful-Accent6">
    <w:name w:val="List Table 6 Colorful Accent 6"/>
    <w:basedOn w:val="TableNormal"/>
    <w:uiPriority w:val="51"/>
    <w:rsid w:val="00B60586"/>
    <w:pPr>
      <w:spacing w:line="240" w:lineRule="auto"/>
    </w:pPr>
    <w:rPr>
      <w:color w:val="FFB309" w:themeColor="accent6" w:themeShade="BF"/>
    </w:rPr>
    <w:tblPr>
      <w:tblStyleRowBandSize w:val="1"/>
      <w:tblStyleColBandSize w:val="1"/>
      <w:tblBorders>
        <w:top w:val="single" w:color="FFCF62" w:themeColor="accent6" w:sz="4" w:space="0"/>
        <w:bottom w:val="single" w:color="FFCF62" w:themeColor="accent6" w:sz="4" w:space="0"/>
      </w:tblBorders>
    </w:tblPr>
    <w:tblStylePr w:type="firstRow">
      <w:rPr>
        <w:b/>
        <w:bCs/>
      </w:rPr>
      <w:tblPr/>
      <w:tcPr>
        <w:tcBorders>
          <w:bottom w:val="single" w:color="FFCF62" w:themeColor="accent6" w:sz="4" w:space="0"/>
        </w:tcBorders>
      </w:tcPr>
    </w:tblStylePr>
    <w:tblStylePr w:type="lastRow">
      <w:rPr>
        <w:b/>
        <w:bCs/>
      </w:rPr>
      <w:tblPr/>
      <w:tcPr>
        <w:tcBorders>
          <w:top w:val="double" w:color="FFCF62" w:themeColor="accent6" w:sz="4" w:space="0"/>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7Colorful">
    <w:name w:val="List Table 7 Colorful"/>
    <w:basedOn w:val="TableNormal"/>
    <w:uiPriority w:val="52"/>
    <w:rsid w:val="00B60586"/>
    <w:pPr>
      <w:spacing w:line="240" w:lineRule="auto"/>
    </w:pPr>
    <w:rPr>
      <w:color w:val="231F20" w:themeColor="text1"/>
    </w:rPr>
    <w:tblPr>
      <w:tblStyleRowBandSize w:val="1"/>
      <w:tblStyleColBandSize w:val="1"/>
    </w:tblPr>
    <w:tblStylePr w:type="firstRow">
      <w:rPr>
        <w:rFonts w:asciiTheme="majorHAnsi" w:hAnsiTheme="majorHAnsi" w:eastAsiaTheme="majorEastAsia" w:cstheme="majorBidi"/>
        <w:i/>
        <w:iCs/>
        <w:sz w:val="26"/>
      </w:rPr>
      <w:tblPr/>
      <w:tcPr>
        <w:tcBorders>
          <w:bottom w:val="single" w:color="231F20"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231F2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231F20"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231F20" w:themeColor="text1" w:sz="4" w:space="0"/>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60586"/>
    <w:pPr>
      <w:spacing w:line="240" w:lineRule="auto"/>
    </w:pPr>
    <w:rPr>
      <w:color w:val="47B2C0" w:themeColor="accent1"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8ACED7"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8ACED7"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8ACED7"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8ACED7" w:themeColor="accent1" w:sz="4" w:space="0"/>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60586"/>
    <w:pPr>
      <w:spacing w:line="240" w:lineRule="auto"/>
    </w:pPr>
    <w:rPr>
      <w:color w:val="00254A" w:themeColor="accent2"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03263"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3263"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3263"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3263" w:themeColor="accent2" w:sz="4" w:space="0"/>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60586"/>
    <w:pPr>
      <w:spacing w:line="240" w:lineRule="auto"/>
    </w:pPr>
    <w:rPr>
      <w:color w:val="C72D0E" w:themeColor="accent3"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F04E2D"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F04E2D"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F04E2D"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F04E2D" w:themeColor="accent3" w:sz="4" w:space="0"/>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B60586"/>
    <w:pPr>
      <w:spacing w:line="240" w:lineRule="auto"/>
    </w:pPr>
    <w:rPr>
      <w:color w:val="36947B" w:themeColor="accent4"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50BFA2" w:themeColor="accent4"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50BFA2"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50BFA2" w:themeColor="accent4"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50BFA2" w:themeColor="accent4" w:sz="4" w:space="0"/>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B60586"/>
    <w:pPr>
      <w:spacing w:line="240" w:lineRule="auto"/>
    </w:pPr>
    <w:rPr>
      <w:color w:val="744881" w:themeColor="accent5"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9A64A9"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9A64A9"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9A64A9"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9A64A9" w:themeColor="accent5" w:sz="4" w:space="0"/>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B60586"/>
    <w:pPr>
      <w:spacing w:line="240" w:lineRule="auto"/>
    </w:pPr>
    <w:rPr>
      <w:color w:val="FFB309"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FFCF62"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FFCF62"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FFCF62"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FFCF62" w:themeColor="accent6" w:sz="4" w:space="0"/>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color="5D5356" w:themeColor="text1" w:themeTint="BF" w:sz="8" w:space="0"/>
        <w:left w:val="single" w:color="5D5356" w:themeColor="text1" w:themeTint="BF" w:sz="8" w:space="0"/>
        <w:bottom w:val="single" w:color="5D5356" w:themeColor="text1" w:themeTint="BF" w:sz="8" w:space="0"/>
        <w:right w:val="single" w:color="5D5356" w:themeColor="text1" w:themeTint="BF" w:sz="8" w:space="0"/>
        <w:insideH w:val="single" w:color="5D5356" w:themeColor="text1" w:themeTint="BF" w:sz="8" w:space="0"/>
        <w:insideV w:val="single" w:color="5D5356" w:themeColor="text1" w:themeTint="BF" w:sz="8" w:space="0"/>
      </w:tblBorders>
    </w:tblPr>
    <w:tcPr>
      <w:shd w:val="clear" w:color="auto" w:fill="CBC4C6" w:themeFill="text1" w:themeFillTint="3F"/>
    </w:tcPr>
    <w:tblStylePr w:type="firstRow">
      <w:rPr>
        <w:b/>
        <w:bCs/>
      </w:rPr>
    </w:tblStylePr>
    <w:tblStylePr w:type="lastRow">
      <w:rPr>
        <w:b/>
        <w:bCs/>
      </w:rPr>
      <w:tblPr/>
      <w:tcPr>
        <w:tcBorders>
          <w:top w:val="single" w:color="5D5356" w:themeColor="text1" w:themeTint="BF" w:sz="18" w:space="0"/>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color="A7DAE1" w:themeColor="accent1" w:themeTint="BF" w:sz="8" w:space="0"/>
        <w:left w:val="single" w:color="A7DAE1" w:themeColor="accent1" w:themeTint="BF" w:sz="8" w:space="0"/>
        <w:bottom w:val="single" w:color="A7DAE1" w:themeColor="accent1" w:themeTint="BF" w:sz="8" w:space="0"/>
        <w:right w:val="single" w:color="A7DAE1" w:themeColor="accent1" w:themeTint="BF" w:sz="8" w:space="0"/>
        <w:insideH w:val="single" w:color="A7DAE1" w:themeColor="accent1" w:themeTint="BF" w:sz="8" w:space="0"/>
        <w:insideV w:val="single" w:color="A7DAE1" w:themeColor="accent1" w:themeTint="BF" w:sz="8" w:space="0"/>
      </w:tblBorders>
    </w:tblPr>
    <w:tcPr>
      <w:shd w:val="clear" w:color="auto" w:fill="E1F2F5" w:themeFill="accent1" w:themeFillTint="3F"/>
    </w:tcPr>
    <w:tblStylePr w:type="firstRow">
      <w:rPr>
        <w:b/>
        <w:bCs/>
      </w:rPr>
    </w:tblStylePr>
    <w:tblStylePr w:type="lastRow">
      <w:rPr>
        <w:b/>
        <w:bCs/>
      </w:rPr>
      <w:tblPr/>
      <w:tcPr>
        <w:tcBorders>
          <w:top w:val="single" w:color="A7DAE1" w:themeColor="accent1" w:themeTint="BF" w:sz="18" w:space="0"/>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color="0065CA" w:themeColor="accent2" w:themeTint="BF" w:sz="8" w:space="0"/>
        <w:left w:val="single" w:color="0065CA" w:themeColor="accent2" w:themeTint="BF" w:sz="8" w:space="0"/>
        <w:bottom w:val="single" w:color="0065CA" w:themeColor="accent2" w:themeTint="BF" w:sz="8" w:space="0"/>
        <w:right w:val="single" w:color="0065CA" w:themeColor="accent2" w:themeTint="BF" w:sz="8" w:space="0"/>
        <w:insideH w:val="single" w:color="0065CA" w:themeColor="accent2" w:themeTint="BF" w:sz="8" w:space="0"/>
        <w:insideV w:val="single" w:color="0065CA" w:themeColor="accent2" w:themeTint="BF" w:sz="8" w:space="0"/>
      </w:tblBorders>
    </w:tblPr>
    <w:tcPr>
      <w:shd w:val="clear" w:color="auto" w:fill="99CCFF" w:themeFill="accent2" w:themeFillTint="3F"/>
    </w:tcPr>
    <w:tblStylePr w:type="firstRow">
      <w:rPr>
        <w:b/>
        <w:bCs/>
      </w:rPr>
    </w:tblStylePr>
    <w:tblStylePr w:type="lastRow">
      <w:rPr>
        <w:b/>
        <w:bCs/>
      </w:rPr>
      <w:tblPr/>
      <w:tcPr>
        <w:tcBorders>
          <w:top w:val="single" w:color="0065CA" w:themeColor="accent2" w:themeTint="BF" w:sz="18" w:space="0"/>
        </w:tcBorders>
      </w:tcPr>
    </w:tblStylePr>
    <w:tblStylePr w:type="firstCol">
      <w:rPr>
        <w:b/>
        <w:bCs/>
      </w:rPr>
    </w:tblStylePr>
    <w:tblStylePr w:type="lastCol">
      <w:rPr>
        <w:b/>
        <w:bCs/>
      </w:r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color="F37A61" w:themeColor="accent3" w:themeTint="BF" w:sz="8" w:space="0"/>
        <w:left w:val="single" w:color="F37A61" w:themeColor="accent3" w:themeTint="BF" w:sz="8" w:space="0"/>
        <w:bottom w:val="single" w:color="F37A61" w:themeColor="accent3" w:themeTint="BF" w:sz="8" w:space="0"/>
        <w:right w:val="single" w:color="F37A61" w:themeColor="accent3" w:themeTint="BF" w:sz="8" w:space="0"/>
        <w:insideH w:val="single" w:color="F37A61" w:themeColor="accent3" w:themeTint="BF" w:sz="8" w:space="0"/>
        <w:insideV w:val="single" w:color="F37A61" w:themeColor="accent3" w:themeTint="BF" w:sz="8" w:space="0"/>
      </w:tblBorders>
    </w:tblPr>
    <w:tcPr>
      <w:shd w:val="clear" w:color="auto" w:fill="FBD3CB" w:themeFill="accent3" w:themeFillTint="3F"/>
    </w:tcPr>
    <w:tblStylePr w:type="firstRow">
      <w:rPr>
        <w:b/>
        <w:bCs/>
      </w:rPr>
    </w:tblStylePr>
    <w:tblStylePr w:type="lastRow">
      <w:rPr>
        <w:b/>
        <w:bCs/>
      </w:rPr>
      <w:tblPr/>
      <w:tcPr>
        <w:tcBorders>
          <w:top w:val="single" w:color="F37A61" w:themeColor="accent3" w:themeTint="BF" w:sz="18" w:space="0"/>
        </w:tcBorders>
      </w:tcPr>
    </w:tblStylePr>
    <w:tblStylePr w:type="firstCol">
      <w:rPr>
        <w:b/>
        <w:bCs/>
      </w:rPr>
    </w:tblStylePr>
    <w:tblStylePr w:type="lastCol">
      <w:rPr>
        <w:b/>
        <w:bCs/>
      </w:r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color="7BCFB9" w:themeColor="accent4" w:themeTint="BF" w:sz="8" w:space="0"/>
        <w:left w:val="single" w:color="7BCFB9" w:themeColor="accent4" w:themeTint="BF" w:sz="8" w:space="0"/>
        <w:bottom w:val="single" w:color="7BCFB9" w:themeColor="accent4" w:themeTint="BF" w:sz="8" w:space="0"/>
        <w:right w:val="single" w:color="7BCFB9" w:themeColor="accent4" w:themeTint="BF" w:sz="8" w:space="0"/>
        <w:insideH w:val="single" w:color="7BCFB9" w:themeColor="accent4" w:themeTint="BF" w:sz="8" w:space="0"/>
        <w:insideV w:val="single" w:color="7BCFB9" w:themeColor="accent4" w:themeTint="BF" w:sz="8" w:space="0"/>
      </w:tblBorders>
    </w:tblPr>
    <w:tcPr>
      <w:shd w:val="clear" w:color="auto" w:fill="D3EFE7" w:themeFill="accent4" w:themeFillTint="3F"/>
    </w:tcPr>
    <w:tblStylePr w:type="firstRow">
      <w:rPr>
        <w:b/>
        <w:bCs/>
      </w:rPr>
    </w:tblStylePr>
    <w:tblStylePr w:type="lastRow">
      <w:rPr>
        <w:b/>
        <w:bCs/>
      </w:rPr>
      <w:tblPr/>
      <w:tcPr>
        <w:tcBorders>
          <w:top w:val="single" w:color="7BCFB9" w:themeColor="accent4" w:themeTint="BF" w:sz="18" w:space="0"/>
        </w:tcBorders>
      </w:tcPr>
    </w:tblStylePr>
    <w:tblStylePr w:type="firstCol">
      <w:rPr>
        <w:b/>
        <w:bCs/>
      </w:rPr>
    </w:tblStylePr>
    <w:tblStylePr w:type="lastCol">
      <w:rPr>
        <w:b/>
        <w:bCs/>
      </w:r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color="B38ABE" w:themeColor="accent5" w:themeTint="BF" w:sz="8" w:space="0"/>
        <w:left w:val="single" w:color="B38ABE" w:themeColor="accent5" w:themeTint="BF" w:sz="8" w:space="0"/>
        <w:bottom w:val="single" w:color="B38ABE" w:themeColor="accent5" w:themeTint="BF" w:sz="8" w:space="0"/>
        <w:right w:val="single" w:color="B38ABE" w:themeColor="accent5" w:themeTint="BF" w:sz="8" w:space="0"/>
        <w:insideH w:val="single" w:color="B38ABE" w:themeColor="accent5" w:themeTint="BF" w:sz="8" w:space="0"/>
        <w:insideV w:val="single" w:color="B38ABE" w:themeColor="accent5" w:themeTint="BF" w:sz="8" w:space="0"/>
      </w:tblBorders>
    </w:tblPr>
    <w:tcPr>
      <w:shd w:val="clear" w:color="auto" w:fill="E6D8E9" w:themeFill="accent5" w:themeFillTint="3F"/>
    </w:tcPr>
    <w:tblStylePr w:type="firstRow">
      <w:rPr>
        <w:b/>
        <w:bCs/>
      </w:rPr>
    </w:tblStylePr>
    <w:tblStylePr w:type="lastRow">
      <w:rPr>
        <w:b/>
        <w:bCs/>
      </w:rPr>
      <w:tblPr/>
      <w:tcPr>
        <w:tcBorders>
          <w:top w:val="single" w:color="B38ABE" w:themeColor="accent5" w:themeTint="BF" w:sz="18" w:space="0"/>
        </w:tcBorders>
      </w:tcPr>
    </w:tblStylePr>
    <w:tblStylePr w:type="firstCol">
      <w:rPr>
        <w:b/>
        <w:bCs/>
      </w:rPr>
    </w:tblStylePr>
    <w:tblStylePr w:type="lastCol">
      <w:rPr>
        <w:b/>
        <w:bCs/>
      </w:r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color="FFDB89" w:themeColor="accent6" w:themeTint="BF" w:sz="8" w:space="0"/>
        <w:left w:val="single" w:color="FFDB89" w:themeColor="accent6" w:themeTint="BF" w:sz="8" w:space="0"/>
        <w:bottom w:val="single" w:color="FFDB89" w:themeColor="accent6" w:themeTint="BF" w:sz="8" w:space="0"/>
        <w:right w:val="single" w:color="FFDB89" w:themeColor="accent6" w:themeTint="BF" w:sz="8" w:space="0"/>
        <w:insideH w:val="single" w:color="FFDB89" w:themeColor="accent6" w:themeTint="BF" w:sz="8" w:space="0"/>
        <w:insideV w:val="single" w:color="FFDB89" w:themeColor="accent6" w:themeTint="BF" w:sz="8" w:space="0"/>
      </w:tblBorders>
    </w:tblPr>
    <w:tcPr>
      <w:shd w:val="clear" w:color="auto" w:fill="FFF3D8" w:themeFill="accent6" w:themeFillTint="3F"/>
    </w:tcPr>
    <w:tblStylePr w:type="firstRow">
      <w:rPr>
        <w:b/>
        <w:bCs/>
      </w:rPr>
    </w:tblStylePr>
    <w:tblStylePr w:type="lastRow">
      <w:rPr>
        <w:b/>
        <w:bCs/>
      </w:rPr>
      <w:tblPr/>
      <w:tcPr>
        <w:tcBorders>
          <w:top w:val="single" w:color="FFDB89" w:themeColor="accent6" w:themeTint="BF" w:sz="18" w:space="0"/>
        </w:tcBorders>
      </w:tcPr>
    </w:tblStylePr>
    <w:tblStylePr w:type="firstCol">
      <w:rPr>
        <w:b/>
        <w:bCs/>
      </w:rPr>
    </w:tblStylePr>
    <w:tblStylePr w:type="lastCol">
      <w:rPr>
        <w:b/>
        <w:bCs/>
      </w:r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MediumGrid2">
    <w:name w:val="Medium Grid 2"/>
    <w:basedOn w:val="TableNormal"/>
    <w:uiPriority w:val="68"/>
    <w:semiHidden/>
    <w:rsid w:val="00B60586"/>
    <w:pPr>
      <w:spacing w:line="240" w:lineRule="auto"/>
    </w:pPr>
    <w:rPr>
      <w:rFonts w:asciiTheme="majorHAnsi" w:hAnsiTheme="majorHAnsi" w:eastAsiaTheme="majorEastAsia" w:cstheme="majorBidi"/>
      <w:color w:val="231F20" w:themeColor="text1"/>
    </w:rPr>
    <w:tblPr>
      <w:tblStyleRowBandSize w:val="1"/>
      <w:tblStyleColBandSize w:val="1"/>
      <w:tblBorders>
        <w:top w:val="single" w:color="231F20" w:themeColor="text1" w:sz="8" w:space="0"/>
        <w:left w:val="single" w:color="231F20" w:themeColor="text1" w:sz="8" w:space="0"/>
        <w:bottom w:val="single" w:color="231F20" w:themeColor="text1" w:sz="8" w:space="0"/>
        <w:right w:val="single" w:color="231F20" w:themeColor="text1" w:sz="8" w:space="0"/>
        <w:insideH w:val="single" w:color="231F20" w:themeColor="text1" w:sz="8" w:space="0"/>
        <w:insideV w:val="single" w:color="231F20" w:themeColor="text1" w:sz="8" w:space="0"/>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color="231F20" w:themeColor="text1" w:sz="12" w:space="0"/>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color="231F20" w:themeColor="text1" w:sz="6" w:space="0"/>
          <w:insideV w:val="single" w:color="231F20" w:themeColor="text1" w:sz="6" w:space="0"/>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hAnsiTheme="majorHAnsi" w:eastAsiaTheme="majorEastAsia" w:cstheme="majorBidi"/>
      <w:color w:val="231F20" w:themeColor="text1"/>
    </w:rPr>
    <w:tblPr>
      <w:tblStyleRowBandSize w:val="1"/>
      <w:tblStyleColBandSize w:val="1"/>
      <w:tblBorders>
        <w:top w:val="single" w:color="8ACED7" w:themeColor="accent1" w:sz="8" w:space="0"/>
        <w:left w:val="single" w:color="8ACED7" w:themeColor="accent1" w:sz="8" w:space="0"/>
        <w:bottom w:val="single" w:color="8ACED7" w:themeColor="accent1" w:sz="8" w:space="0"/>
        <w:right w:val="single" w:color="8ACED7" w:themeColor="accent1" w:sz="8" w:space="0"/>
        <w:insideH w:val="single" w:color="8ACED7" w:themeColor="accent1" w:sz="8" w:space="0"/>
        <w:insideV w:val="single" w:color="8ACED7" w:themeColor="accent1" w:sz="8" w:space="0"/>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color="231F20" w:themeColor="text1" w:sz="12" w:space="0"/>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color="8ACED7" w:themeColor="accent1" w:sz="6" w:space="0"/>
          <w:insideV w:val="single" w:color="8ACED7" w:themeColor="accent1" w:sz="6" w:space="0"/>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hAnsiTheme="majorHAnsi" w:eastAsiaTheme="majorEastAsia" w:cstheme="majorBidi"/>
      <w:color w:val="231F20" w:themeColor="text1"/>
    </w:rPr>
    <w:tblPr>
      <w:tblStyleRowBandSize w:val="1"/>
      <w:tblStyleColBandSize w:val="1"/>
      <w:tblBorders>
        <w:top w:val="single" w:color="003263" w:themeColor="accent2" w:sz="8" w:space="0"/>
        <w:left w:val="single" w:color="003263" w:themeColor="accent2" w:sz="8" w:space="0"/>
        <w:bottom w:val="single" w:color="003263" w:themeColor="accent2" w:sz="8" w:space="0"/>
        <w:right w:val="single" w:color="003263" w:themeColor="accent2" w:sz="8" w:space="0"/>
        <w:insideH w:val="single" w:color="003263" w:themeColor="accent2" w:sz="8" w:space="0"/>
        <w:insideV w:val="single" w:color="003263" w:themeColor="accent2" w:sz="8" w:space="0"/>
      </w:tblBorders>
    </w:tblPr>
    <w:tcPr>
      <w:shd w:val="clear" w:color="auto" w:fill="99CCFF" w:themeFill="accent2" w:themeFillTint="3F"/>
    </w:tcPr>
    <w:tblStylePr w:type="firstRow">
      <w:rPr>
        <w:b/>
        <w:bCs/>
        <w:color w:val="231F20" w:themeColor="text1"/>
      </w:rPr>
      <w:tblPr/>
      <w:tcPr>
        <w:shd w:val="clear" w:color="auto" w:fill="D6EAFF" w:themeFill="accent2" w:themeFillTint="19"/>
      </w:tcPr>
    </w:tblStylePr>
    <w:tblStylePr w:type="lastRow">
      <w:rPr>
        <w:b/>
        <w:bCs/>
        <w:color w:val="231F20" w:themeColor="text1"/>
      </w:rPr>
      <w:tblPr/>
      <w:tcPr>
        <w:tcBorders>
          <w:top w:val="single" w:color="231F20" w:themeColor="text1" w:sz="12" w:space="0"/>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ACD5FF" w:themeFill="accent2" w:themeFillTint="33"/>
      </w:tcPr>
    </w:tblStylePr>
    <w:tblStylePr w:type="band1Vert">
      <w:tblPr/>
      <w:tcPr>
        <w:shd w:val="clear" w:color="auto" w:fill="3298FF" w:themeFill="accent2" w:themeFillTint="7F"/>
      </w:tcPr>
    </w:tblStylePr>
    <w:tblStylePr w:type="band1Horz">
      <w:tblPr/>
      <w:tcPr>
        <w:tcBorders>
          <w:insideH w:val="single" w:color="003263" w:themeColor="accent2" w:sz="6" w:space="0"/>
          <w:insideV w:val="single" w:color="003263" w:themeColor="accent2" w:sz="6" w:space="0"/>
        </w:tcBorders>
        <w:shd w:val="clear" w:color="auto" w:fill="3298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hAnsiTheme="majorHAnsi" w:eastAsiaTheme="majorEastAsia" w:cstheme="majorBidi"/>
      <w:color w:val="231F20" w:themeColor="text1"/>
    </w:rPr>
    <w:tblPr>
      <w:tblStyleRowBandSize w:val="1"/>
      <w:tblStyleColBandSize w:val="1"/>
      <w:tblBorders>
        <w:top w:val="single" w:color="F04E2D" w:themeColor="accent3" w:sz="8" w:space="0"/>
        <w:left w:val="single" w:color="F04E2D" w:themeColor="accent3" w:sz="8" w:space="0"/>
        <w:bottom w:val="single" w:color="F04E2D" w:themeColor="accent3" w:sz="8" w:space="0"/>
        <w:right w:val="single" w:color="F04E2D" w:themeColor="accent3" w:sz="8" w:space="0"/>
        <w:insideH w:val="single" w:color="F04E2D" w:themeColor="accent3" w:sz="8" w:space="0"/>
        <w:insideV w:val="single" w:color="F04E2D" w:themeColor="accent3" w:sz="8" w:space="0"/>
      </w:tblBorders>
    </w:tblPr>
    <w:tcPr>
      <w:shd w:val="clear" w:color="auto" w:fill="FBD3CB" w:themeFill="accent3" w:themeFillTint="3F"/>
    </w:tcPr>
    <w:tblStylePr w:type="firstRow">
      <w:rPr>
        <w:b/>
        <w:bCs/>
        <w:color w:val="231F20" w:themeColor="text1"/>
      </w:rPr>
      <w:tblPr/>
      <w:tcPr>
        <w:shd w:val="clear" w:color="auto" w:fill="FDEDEA" w:themeFill="accent3" w:themeFillTint="19"/>
      </w:tcPr>
    </w:tblStylePr>
    <w:tblStylePr w:type="lastRow">
      <w:rPr>
        <w:b/>
        <w:bCs/>
        <w:color w:val="231F20" w:themeColor="text1"/>
      </w:rPr>
      <w:tblPr/>
      <w:tcPr>
        <w:tcBorders>
          <w:top w:val="single" w:color="231F20" w:themeColor="text1" w:sz="12" w:space="0"/>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CDBD5" w:themeFill="accent3" w:themeFillTint="33"/>
      </w:tcPr>
    </w:tblStylePr>
    <w:tblStylePr w:type="band1Vert">
      <w:tblPr/>
      <w:tcPr>
        <w:shd w:val="clear" w:color="auto" w:fill="F7A696" w:themeFill="accent3" w:themeFillTint="7F"/>
      </w:tcPr>
    </w:tblStylePr>
    <w:tblStylePr w:type="band1Horz">
      <w:tblPr/>
      <w:tcPr>
        <w:tcBorders>
          <w:insideH w:val="single" w:color="F04E2D" w:themeColor="accent3" w:sz="6" w:space="0"/>
          <w:insideV w:val="single" w:color="F04E2D" w:themeColor="accent3" w:sz="6" w:space="0"/>
        </w:tcBorders>
        <w:shd w:val="clear" w:color="auto" w:fill="F7A69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hAnsiTheme="majorHAnsi" w:eastAsiaTheme="majorEastAsia" w:cstheme="majorBidi"/>
      <w:color w:val="231F20" w:themeColor="text1"/>
    </w:rPr>
    <w:tblPr>
      <w:tblStyleRowBandSize w:val="1"/>
      <w:tblStyleColBandSize w:val="1"/>
      <w:tblBorders>
        <w:top w:val="single" w:color="50BFA2" w:themeColor="accent4" w:sz="8" w:space="0"/>
        <w:left w:val="single" w:color="50BFA2" w:themeColor="accent4" w:sz="8" w:space="0"/>
        <w:bottom w:val="single" w:color="50BFA2" w:themeColor="accent4" w:sz="8" w:space="0"/>
        <w:right w:val="single" w:color="50BFA2" w:themeColor="accent4" w:sz="8" w:space="0"/>
        <w:insideH w:val="single" w:color="50BFA2" w:themeColor="accent4" w:sz="8" w:space="0"/>
        <w:insideV w:val="single" w:color="50BFA2" w:themeColor="accent4" w:sz="8" w:space="0"/>
      </w:tblBorders>
    </w:tblPr>
    <w:tcPr>
      <w:shd w:val="clear" w:color="auto" w:fill="D3EFE7" w:themeFill="accent4" w:themeFillTint="3F"/>
    </w:tcPr>
    <w:tblStylePr w:type="firstRow">
      <w:rPr>
        <w:b/>
        <w:bCs/>
        <w:color w:val="231F20" w:themeColor="text1"/>
      </w:rPr>
      <w:tblPr/>
      <w:tcPr>
        <w:shd w:val="clear" w:color="auto" w:fill="EDF8F5" w:themeFill="accent4" w:themeFillTint="19"/>
      </w:tcPr>
    </w:tblStylePr>
    <w:tblStylePr w:type="lastRow">
      <w:rPr>
        <w:b/>
        <w:bCs/>
        <w:color w:val="231F20" w:themeColor="text1"/>
      </w:rPr>
      <w:tblPr/>
      <w:tcPr>
        <w:tcBorders>
          <w:top w:val="single" w:color="231F20" w:themeColor="text1" w:sz="12" w:space="0"/>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BF2EC" w:themeFill="accent4" w:themeFillTint="33"/>
      </w:tcPr>
    </w:tblStylePr>
    <w:tblStylePr w:type="band1Vert">
      <w:tblPr/>
      <w:tcPr>
        <w:shd w:val="clear" w:color="auto" w:fill="A7DFD0" w:themeFill="accent4" w:themeFillTint="7F"/>
      </w:tcPr>
    </w:tblStylePr>
    <w:tblStylePr w:type="band1Horz">
      <w:tblPr/>
      <w:tcPr>
        <w:tcBorders>
          <w:insideH w:val="single" w:color="50BFA2" w:themeColor="accent4" w:sz="6" w:space="0"/>
          <w:insideV w:val="single" w:color="50BFA2" w:themeColor="accent4" w:sz="6" w:space="0"/>
        </w:tcBorders>
        <w:shd w:val="clear" w:color="auto" w:fill="A7DF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hAnsiTheme="majorHAnsi" w:eastAsiaTheme="majorEastAsia" w:cstheme="majorBidi"/>
      <w:color w:val="231F20" w:themeColor="text1"/>
    </w:rPr>
    <w:tblPr>
      <w:tblStyleRowBandSize w:val="1"/>
      <w:tblStyleColBandSize w:val="1"/>
      <w:tblBorders>
        <w:top w:val="single" w:color="9A64A9" w:themeColor="accent5" w:sz="8" w:space="0"/>
        <w:left w:val="single" w:color="9A64A9" w:themeColor="accent5" w:sz="8" w:space="0"/>
        <w:bottom w:val="single" w:color="9A64A9" w:themeColor="accent5" w:sz="8" w:space="0"/>
        <w:right w:val="single" w:color="9A64A9" w:themeColor="accent5" w:sz="8" w:space="0"/>
        <w:insideH w:val="single" w:color="9A64A9" w:themeColor="accent5" w:sz="8" w:space="0"/>
        <w:insideV w:val="single" w:color="9A64A9" w:themeColor="accent5" w:sz="8" w:space="0"/>
      </w:tblBorders>
    </w:tblPr>
    <w:tcPr>
      <w:shd w:val="clear" w:color="auto" w:fill="E6D8E9" w:themeFill="accent5" w:themeFillTint="3F"/>
    </w:tcPr>
    <w:tblStylePr w:type="firstRow">
      <w:rPr>
        <w:b/>
        <w:bCs/>
        <w:color w:val="231F20" w:themeColor="text1"/>
      </w:rPr>
      <w:tblPr/>
      <w:tcPr>
        <w:shd w:val="clear" w:color="auto" w:fill="F5EFF6" w:themeFill="accent5" w:themeFillTint="19"/>
      </w:tcPr>
    </w:tblStylePr>
    <w:tblStylePr w:type="lastRow">
      <w:rPr>
        <w:b/>
        <w:bCs/>
        <w:color w:val="231F20" w:themeColor="text1"/>
      </w:rPr>
      <w:tblPr/>
      <w:tcPr>
        <w:tcBorders>
          <w:top w:val="single" w:color="231F20" w:themeColor="text1" w:sz="12" w:space="0"/>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ADFED" w:themeFill="accent5" w:themeFillTint="33"/>
      </w:tcPr>
    </w:tblStylePr>
    <w:tblStylePr w:type="band1Vert">
      <w:tblPr/>
      <w:tcPr>
        <w:shd w:val="clear" w:color="auto" w:fill="CCB1D4" w:themeFill="accent5" w:themeFillTint="7F"/>
      </w:tcPr>
    </w:tblStylePr>
    <w:tblStylePr w:type="band1Horz">
      <w:tblPr/>
      <w:tcPr>
        <w:tcBorders>
          <w:insideH w:val="single" w:color="9A64A9" w:themeColor="accent5" w:sz="6" w:space="0"/>
          <w:insideV w:val="single" w:color="9A64A9" w:themeColor="accent5" w:sz="6" w:space="0"/>
        </w:tcBorders>
        <w:shd w:val="clear" w:color="auto" w:fill="CCB1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hAnsiTheme="majorHAnsi" w:eastAsiaTheme="majorEastAsia" w:cstheme="majorBidi"/>
      <w:color w:val="231F20" w:themeColor="text1"/>
    </w:rPr>
    <w:tblPr>
      <w:tblStyleRowBandSize w:val="1"/>
      <w:tblStyleColBandSize w:val="1"/>
      <w:tblBorders>
        <w:top w:val="single" w:color="FFCF62" w:themeColor="accent6" w:sz="8" w:space="0"/>
        <w:left w:val="single" w:color="FFCF62" w:themeColor="accent6" w:sz="8" w:space="0"/>
        <w:bottom w:val="single" w:color="FFCF62" w:themeColor="accent6" w:sz="8" w:space="0"/>
        <w:right w:val="single" w:color="FFCF62" w:themeColor="accent6" w:sz="8" w:space="0"/>
        <w:insideH w:val="single" w:color="FFCF62" w:themeColor="accent6" w:sz="8" w:space="0"/>
        <w:insideV w:val="single" w:color="FFCF62" w:themeColor="accent6" w:sz="8" w:space="0"/>
      </w:tblBorders>
    </w:tblPr>
    <w:tcPr>
      <w:shd w:val="clear" w:color="auto" w:fill="FFF3D8" w:themeFill="accent6" w:themeFillTint="3F"/>
    </w:tcPr>
    <w:tblStylePr w:type="firstRow">
      <w:rPr>
        <w:b/>
        <w:bCs/>
        <w:color w:val="231F20" w:themeColor="text1"/>
      </w:rPr>
      <w:tblPr/>
      <w:tcPr>
        <w:shd w:val="clear" w:color="auto" w:fill="FFFAEF" w:themeFill="accent6" w:themeFillTint="19"/>
      </w:tcPr>
    </w:tblStylePr>
    <w:tblStylePr w:type="lastRow">
      <w:rPr>
        <w:b/>
        <w:bCs/>
        <w:color w:val="231F20" w:themeColor="text1"/>
      </w:rPr>
      <w:tblPr/>
      <w:tcPr>
        <w:tcBorders>
          <w:top w:val="single" w:color="231F20" w:themeColor="text1" w:sz="12" w:space="0"/>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5DF" w:themeFill="accent6" w:themeFillTint="33"/>
      </w:tcPr>
    </w:tblStylePr>
    <w:tblStylePr w:type="band1Vert">
      <w:tblPr/>
      <w:tcPr>
        <w:shd w:val="clear" w:color="auto" w:fill="FFE7B0" w:themeFill="accent6" w:themeFillTint="7F"/>
      </w:tcPr>
    </w:tblStylePr>
    <w:tblStylePr w:type="band1Horz">
      <w:tblPr/>
      <w:tcPr>
        <w:tcBorders>
          <w:insideH w:val="single" w:color="FFCF62" w:themeColor="accent6" w:sz="6" w:space="0"/>
          <w:insideV w:val="single" w:color="FFCF62" w:themeColor="accent6" w:sz="6" w:space="0"/>
        </w:tcBorders>
        <w:shd w:val="clear" w:color="auto" w:fill="FFE7B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BC4C6"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231F2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231F2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231F2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231F2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97898C"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1F2F5"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ACED7"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ACED7"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ACED7"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ACED7"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4E6EB"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99CCFF"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3263"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3263"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3263"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3263"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3298FF"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3298FF"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BD3CB"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04E2D"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04E2D"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04E2D"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04E2D"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7A696"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7A696"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EFE7"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50BF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50BF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50BF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50BF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DF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DFD0"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D8E9"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A64A9"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A64A9"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A64A9"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A64A9"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CB1D4"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CB1D4"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F3D8"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FCF62"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FCF62"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FCF62"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FCF62"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E7B0"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FE7B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color="231F20" w:themeColor="text1" w:sz="8" w:space="0"/>
        <w:bottom w:val="single" w:color="231F20" w:themeColor="text1" w:sz="8" w:space="0"/>
      </w:tblBorders>
    </w:tblPr>
    <w:tblStylePr w:type="firstRow">
      <w:rPr>
        <w:rFonts w:asciiTheme="majorHAnsi" w:hAnsiTheme="majorHAnsi" w:eastAsiaTheme="majorEastAsia" w:cstheme="majorBidi"/>
      </w:rPr>
      <w:tblPr/>
      <w:tcPr>
        <w:tcBorders>
          <w:top w:val="nil"/>
          <w:bottom w:val="single" w:color="231F20" w:themeColor="text1" w:sz="8" w:space="0"/>
        </w:tcBorders>
      </w:tcPr>
    </w:tblStylePr>
    <w:tblStylePr w:type="lastRow">
      <w:rPr>
        <w:b/>
        <w:bCs/>
        <w:color w:val="003263" w:themeColor="text2"/>
      </w:rPr>
      <w:tblPr/>
      <w:tcPr>
        <w:tcBorders>
          <w:top w:val="single" w:color="231F20" w:themeColor="text1" w:sz="8" w:space="0"/>
          <w:bottom w:val="single" w:color="231F20" w:themeColor="text1" w:sz="8" w:space="0"/>
        </w:tcBorders>
      </w:tcPr>
    </w:tblStylePr>
    <w:tblStylePr w:type="firstCol">
      <w:rPr>
        <w:b/>
        <w:bCs/>
      </w:rPr>
    </w:tblStylePr>
    <w:tblStylePr w:type="lastCol">
      <w:rPr>
        <w:b/>
        <w:bCs/>
      </w:rPr>
      <w:tblPr/>
      <w:tcPr>
        <w:tcBorders>
          <w:top w:val="single" w:color="231F20" w:themeColor="text1" w:sz="8" w:space="0"/>
          <w:bottom w:val="single" w:color="231F20" w:themeColor="text1" w:sz="8" w:space="0"/>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color="8ACED7" w:themeColor="accent1" w:sz="8" w:space="0"/>
        <w:bottom w:val="single" w:color="8ACED7" w:themeColor="accent1" w:sz="8" w:space="0"/>
      </w:tblBorders>
    </w:tblPr>
    <w:tblStylePr w:type="firstRow">
      <w:rPr>
        <w:rFonts w:asciiTheme="majorHAnsi" w:hAnsiTheme="majorHAnsi" w:eastAsiaTheme="majorEastAsia" w:cstheme="majorBidi"/>
      </w:rPr>
      <w:tblPr/>
      <w:tcPr>
        <w:tcBorders>
          <w:top w:val="nil"/>
          <w:bottom w:val="single" w:color="8ACED7" w:themeColor="accent1" w:sz="8" w:space="0"/>
        </w:tcBorders>
      </w:tcPr>
    </w:tblStylePr>
    <w:tblStylePr w:type="lastRow">
      <w:rPr>
        <w:b/>
        <w:bCs/>
        <w:color w:val="003263" w:themeColor="text2"/>
      </w:rPr>
      <w:tblPr/>
      <w:tcPr>
        <w:tcBorders>
          <w:top w:val="single" w:color="8ACED7" w:themeColor="accent1" w:sz="8" w:space="0"/>
          <w:bottom w:val="single" w:color="8ACED7" w:themeColor="accent1" w:sz="8" w:space="0"/>
        </w:tcBorders>
      </w:tcPr>
    </w:tblStylePr>
    <w:tblStylePr w:type="firstCol">
      <w:rPr>
        <w:b/>
        <w:bCs/>
      </w:rPr>
    </w:tblStylePr>
    <w:tblStylePr w:type="lastCol">
      <w:rPr>
        <w:b/>
        <w:bCs/>
      </w:rPr>
      <w:tblPr/>
      <w:tcPr>
        <w:tcBorders>
          <w:top w:val="single" w:color="8ACED7" w:themeColor="accent1" w:sz="8" w:space="0"/>
          <w:bottom w:val="single" w:color="8ACED7" w:themeColor="accent1" w:sz="8" w:space="0"/>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color="003263" w:themeColor="accent2" w:sz="8" w:space="0"/>
        <w:bottom w:val="single" w:color="003263" w:themeColor="accent2" w:sz="8" w:space="0"/>
      </w:tblBorders>
    </w:tblPr>
    <w:tblStylePr w:type="firstRow">
      <w:rPr>
        <w:rFonts w:asciiTheme="majorHAnsi" w:hAnsiTheme="majorHAnsi" w:eastAsiaTheme="majorEastAsia" w:cstheme="majorBidi"/>
      </w:rPr>
      <w:tblPr/>
      <w:tcPr>
        <w:tcBorders>
          <w:top w:val="nil"/>
          <w:bottom w:val="single" w:color="003263" w:themeColor="accent2" w:sz="8" w:space="0"/>
        </w:tcBorders>
      </w:tcPr>
    </w:tblStylePr>
    <w:tblStylePr w:type="lastRow">
      <w:rPr>
        <w:b/>
        <w:bCs/>
        <w:color w:val="003263" w:themeColor="text2"/>
      </w:rPr>
      <w:tblPr/>
      <w:tcPr>
        <w:tcBorders>
          <w:top w:val="single" w:color="003263" w:themeColor="accent2" w:sz="8" w:space="0"/>
          <w:bottom w:val="single" w:color="003263" w:themeColor="accent2" w:sz="8" w:space="0"/>
        </w:tcBorders>
      </w:tcPr>
    </w:tblStylePr>
    <w:tblStylePr w:type="firstCol">
      <w:rPr>
        <w:b/>
        <w:bCs/>
      </w:rPr>
    </w:tblStylePr>
    <w:tblStylePr w:type="lastCol">
      <w:rPr>
        <w:b/>
        <w:bCs/>
      </w:rPr>
      <w:tblPr/>
      <w:tcPr>
        <w:tcBorders>
          <w:top w:val="single" w:color="003263" w:themeColor="accent2" w:sz="8" w:space="0"/>
          <w:bottom w:val="single" w:color="003263" w:themeColor="accent2" w:sz="8" w:space="0"/>
        </w:tcBorders>
      </w:tcPr>
    </w:tblStylePr>
    <w:tblStylePr w:type="band1Vert">
      <w:tblPr/>
      <w:tcPr>
        <w:shd w:val="clear" w:color="auto" w:fill="99CCFF" w:themeFill="accent2" w:themeFillTint="3F"/>
      </w:tcPr>
    </w:tblStylePr>
    <w:tblStylePr w:type="band1Horz">
      <w:tblPr/>
      <w:tcPr>
        <w:shd w:val="clear" w:color="auto" w:fill="99CCFF"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color="F04E2D" w:themeColor="accent3" w:sz="8" w:space="0"/>
        <w:bottom w:val="single" w:color="F04E2D" w:themeColor="accent3" w:sz="8" w:space="0"/>
      </w:tblBorders>
    </w:tblPr>
    <w:tblStylePr w:type="firstRow">
      <w:rPr>
        <w:rFonts w:asciiTheme="majorHAnsi" w:hAnsiTheme="majorHAnsi" w:eastAsiaTheme="majorEastAsia" w:cstheme="majorBidi"/>
      </w:rPr>
      <w:tblPr/>
      <w:tcPr>
        <w:tcBorders>
          <w:top w:val="nil"/>
          <w:bottom w:val="single" w:color="F04E2D" w:themeColor="accent3" w:sz="8" w:space="0"/>
        </w:tcBorders>
      </w:tcPr>
    </w:tblStylePr>
    <w:tblStylePr w:type="lastRow">
      <w:rPr>
        <w:b/>
        <w:bCs/>
        <w:color w:val="003263" w:themeColor="text2"/>
      </w:rPr>
      <w:tblPr/>
      <w:tcPr>
        <w:tcBorders>
          <w:top w:val="single" w:color="F04E2D" w:themeColor="accent3" w:sz="8" w:space="0"/>
          <w:bottom w:val="single" w:color="F04E2D" w:themeColor="accent3" w:sz="8" w:space="0"/>
        </w:tcBorders>
      </w:tcPr>
    </w:tblStylePr>
    <w:tblStylePr w:type="firstCol">
      <w:rPr>
        <w:b/>
        <w:bCs/>
      </w:rPr>
    </w:tblStylePr>
    <w:tblStylePr w:type="lastCol">
      <w:rPr>
        <w:b/>
        <w:bCs/>
      </w:rPr>
      <w:tblPr/>
      <w:tcPr>
        <w:tcBorders>
          <w:top w:val="single" w:color="F04E2D" w:themeColor="accent3" w:sz="8" w:space="0"/>
          <w:bottom w:val="single" w:color="F04E2D" w:themeColor="accent3" w:sz="8" w:space="0"/>
        </w:tcBorders>
      </w:tcPr>
    </w:tblStylePr>
    <w:tblStylePr w:type="band1Vert">
      <w:tblPr/>
      <w:tcPr>
        <w:shd w:val="clear" w:color="auto" w:fill="FBD3CB" w:themeFill="accent3" w:themeFillTint="3F"/>
      </w:tcPr>
    </w:tblStylePr>
    <w:tblStylePr w:type="band1Horz">
      <w:tblPr/>
      <w:tcPr>
        <w:shd w:val="clear" w:color="auto" w:fill="FBD3CB"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color="50BFA2" w:themeColor="accent4" w:sz="8" w:space="0"/>
        <w:bottom w:val="single" w:color="50BFA2" w:themeColor="accent4" w:sz="8" w:space="0"/>
      </w:tblBorders>
    </w:tblPr>
    <w:tblStylePr w:type="firstRow">
      <w:rPr>
        <w:rFonts w:asciiTheme="majorHAnsi" w:hAnsiTheme="majorHAnsi" w:eastAsiaTheme="majorEastAsia" w:cstheme="majorBidi"/>
      </w:rPr>
      <w:tblPr/>
      <w:tcPr>
        <w:tcBorders>
          <w:top w:val="nil"/>
          <w:bottom w:val="single" w:color="50BFA2" w:themeColor="accent4" w:sz="8" w:space="0"/>
        </w:tcBorders>
      </w:tcPr>
    </w:tblStylePr>
    <w:tblStylePr w:type="lastRow">
      <w:rPr>
        <w:b/>
        <w:bCs/>
        <w:color w:val="003263" w:themeColor="text2"/>
      </w:rPr>
      <w:tblPr/>
      <w:tcPr>
        <w:tcBorders>
          <w:top w:val="single" w:color="50BFA2" w:themeColor="accent4" w:sz="8" w:space="0"/>
          <w:bottom w:val="single" w:color="50BFA2" w:themeColor="accent4" w:sz="8" w:space="0"/>
        </w:tcBorders>
      </w:tcPr>
    </w:tblStylePr>
    <w:tblStylePr w:type="firstCol">
      <w:rPr>
        <w:b/>
        <w:bCs/>
      </w:rPr>
    </w:tblStylePr>
    <w:tblStylePr w:type="lastCol">
      <w:rPr>
        <w:b/>
        <w:bCs/>
      </w:rPr>
      <w:tblPr/>
      <w:tcPr>
        <w:tcBorders>
          <w:top w:val="single" w:color="50BFA2" w:themeColor="accent4" w:sz="8" w:space="0"/>
          <w:bottom w:val="single" w:color="50BFA2" w:themeColor="accent4" w:sz="8" w:space="0"/>
        </w:tcBorders>
      </w:tcPr>
    </w:tblStylePr>
    <w:tblStylePr w:type="band1Vert">
      <w:tblPr/>
      <w:tcPr>
        <w:shd w:val="clear" w:color="auto" w:fill="D3EFE7" w:themeFill="accent4" w:themeFillTint="3F"/>
      </w:tcPr>
    </w:tblStylePr>
    <w:tblStylePr w:type="band1Horz">
      <w:tblPr/>
      <w:tcPr>
        <w:shd w:val="clear" w:color="auto" w:fill="D3EFE7"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color="9A64A9" w:themeColor="accent5" w:sz="8" w:space="0"/>
        <w:bottom w:val="single" w:color="9A64A9" w:themeColor="accent5" w:sz="8" w:space="0"/>
      </w:tblBorders>
    </w:tblPr>
    <w:tblStylePr w:type="firstRow">
      <w:rPr>
        <w:rFonts w:asciiTheme="majorHAnsi" w:hAnsiTheme="majorHAnsi" w:eastAsiaTheme="majorEastAsia" w:cstheme="majorBidi"/>
      </w:rPr>
      <w:tblPr/>
      <w:tcPr>
        <w:tcBorders>
          <w:top w:val="nil"/>
          <w:bottom w:val="single" w:color="9A64A9" w:themeColor="accent5" w:sz="8" w:space="0"/>
        </w:tcBorders>
      </w:tcPr>
    </w:tblStylePr>
    <w:tblStylePr w:type="lastRow">
      <w:rPr>
        <w:b/>
        <w:bCs/>
        <w:color w:val="003263" w:themeColor="text2"/>
      </w:rPr>
      <w:tblPr/>
      <w:tcPr>
        <w:tcBorders>
          <w:top w:val="single" w:color="9A64A9" w:themeColor="accent5" w:sz="8" w:space="0"/>
          <w:bottom w:val="single" w:color="9A64A9" w:themeColor="accent5" w:sz="8" w:space="0"/>
        </w:tcBorders>
      </w:tcPr>
    </w:tblStylePr>
    <w:tblStylePr w:type="firstCol">
      <w:rPr>
        <w:b/>
        <w:bCs/>
      </w:rPr>
    </w:tblStylePr>
    <w:tblStylePr w:type="lastCol">
      <w:rPr>
        <w:b/>
        <w:bCs/>
      </w:rPr>
      <w:tblPr/>
      <w:tcPr>
        <w:tcBorders>
          <w:top w:val="single" w:color="9A64A9" w:themeColor="accent5" w:sz="8" w:space="0"/>
          <w:bottom w:val="single" w:color="9A64A9" w:themeColor="accent5" w:sz="8" w:space="0"/>
        </w:tcBorders>
      </w:tcPr>
    </w:tblStylePr>
    <w:tblStylePr w:type="band1Vert">
      <w:tblPr/>
      <w:tcPr>
        <w:shd w:val="clear" w:color="auto" w:fill="E6D8E9" w:themeFill="accent5" w:themeFillTint="3F"/>
      </w:tcPr>
    </w:tblStylePr>
    <w:tblStylePr w:type="band1Horz">
      <w:tblPr/>
      <w:tcPr>
        <w:shd w:val="clear" w:color="auto" w:fill="E6D8E9"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color="FFCF62" w:themeColor="accent6" w:sz="8" w:space="0"/>
        <w:bottom w:val="single" w:color="FFCF62" w:themeColor="accent6" w:sz="8" w:space="0"/>
      </w:tblBorders>
    </w:tblPr>
    <w:tblStylePr w:type="firstRow">
      <w:rPr>
        <w:rFonts w:asciiTheme="majorHAnsi" w:hAnsiTheme="majorHAnsi" w:eastAsiaTheme="majorEastAsia" w:cstheme="majorBidi"/>
      </w:rPr>
      <w:tblPr/>
      <w:tcPr>
        <w:tcBorders>
          <w:top w:val="nil"/>
          <w:bottom w:val="single" w:color="FFCF62" w:themeColor="accent6" w:sz="8" w:space="0"/>
        </w:tcBorders>
      </w:tcPr>
    </w:tblStylePr>
    <w:tblStylePr w:type="lastRow">
      <w:rPr>
        <w:b/>
        <w:bCs/>
        <w:color w:val="003263" w:themeColor="text2"/>
      </w:rPr>
      <w:tblPr/>
      <w:tcPr>
        <w:tcBorders>
          <w:top w:val="single" w:color="FFCF62" w:themeColor="accent6" w:sz="8" w:space="0"/>
          <w:bottom w:val="single" w:color="FFCF62" w:themeColor="accent6" w:sz="8" w:space="0"/>
        </w:tcBorders>
      </w:tcPr>
    </w:tblStylePr>
    <w:tblStylePr w:type="firstCol">
      <w:rPr>
        <w:b/>
        <w:bCs/>
      </w:rPr>
    </w:tblStylePr>
    <w:tblStylePr w:type="lastCol">
      <w:rPr>
        <w:b/>
        <w:bCs/>
      </w:rPr>
      <w:tblPr/>
      <w:tcPr>
        <w:tcBorders>
          <w:top w:val="single" w:color="FFCF62" w:themeColor="accent6" w:sz="8" w:space="0"/>
          <w:bottom w:val="single" w:color="FFCF62" w:themeColor="accent6" w:sz="8" w:space="0"/>
        </w:tcBorders>
      </w:tcPr>
    </w:tblStylePr>
    <w:tblStylePr w:type="band1Vert">
      <w:tblPr/>
      <w:tcPr>
        <w:shd w:val="clear" w:color="auto" w:fill="FFF3D8" w:themeFill="accent6" w:themeFillTint="3F"/>
      </w:tcPr>
    </w:tblStylePr>
    <w:tblStylePr w:type="band1Horz">
      <w:tblPr/>
      <w:tcPr>
        <w:shd w:val="clear" w:color="auto" w:fill="FFF3D8" w:themeFill="accent6" w:themeFillTint="3F"/>
      </w:tcPr>
    </w:tblStylePr>
  </w:style>
  <w:style w:type="table" w:styleId="MediumList2">
    <w:name w:val="Medium List 2"/>
    <w:basedOn w:val="TableNormal"/>
    <w:uiPriority w:val="66"/>
    <w:semiHidden/>
    <w:rsid w:val="00B60586"/>
    <w:pPr>
      <w:spacing w:line="240" w:lineRule="auto"/>
    </w:pPr>
    <w:rPr>
      <w:rFonts w:asciiTheme="majorHAnsi" w:hAnsiTheme="majorHAnsi" w:eastAsiaTheme="majorEastAsia" w:cstheme="majorBidi"/>
      <w:color w:val="231F20" w:themeColor="text1"/>
    </w:rPr>
    <w:tblPr>
      <w:tblStyleRowBandSize w:val="1"/>
      <w:tblStyleColBandSize w:val="1"/>
      <w:tblBorders>
        <w:top w:val="single" w:color="231F20" w:themeColor="text1" w:sz="8" w:space="0"/>
        <w:left w:val="single" w:color="231F20" w:themeColor="text1" w:sz="8" w:space="0"/>
        <w:bottom w:val="single" w:color="231F20" w:themeColor="text1" w:sz="8" w:space="0"/>
        <w:right w:val="single" w:color="231F20" w:themeColor="text1" w:sz="8" w:space="0"/>
      </w:tblBorders>
    </w:tblPr>
    <w:tblStylePr w:type="firstRow">
      <w:rPr>
        <w:sz w:val="24"/>
        <w:szCs w:val="24"/>
      </w:rPr>
      <w:tblPr/>
      <w:tcPr>
        <w:tcBorders>
          <w:top w:val="nil"/>
          <w:left w:val="nil"/>
          <w:bottom w:val="single" w:color="231F20" w:themeColor="text1" w:sz="24" w:space="0"/>
          <w:right w:val="nil"/>
          <w:insideH w:val="nil"/>
          <w:insideV w:val="nil"/>
        </w:tcBorders>
        <w:shd w:val="clear" w:color="auto" w:fill="FFFFFF" w:themeFill="background1"/>
      </w:tcPr>
    </w:tblStylePr>
    <w:tblStylePr w:type="lastRow">
      <w:tblPr/>
      <w:tcPr>
        <w:tcBorders>
          <w:top w:val="single" w:color="231F2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231F20" w:themeColor="text1" w:sz="8" w:space="0"/>
          <w:insideH w:val="nil"/>
          <w:insideV w:val="nil"/>
        </w:tcBorders>
        <w:shd w:val="clear" w:color="auto" w:fill="FFFFFF" w:themeFill="background1"/>
      </w:tcPr>
    </w:tblStylePr>
    <w:tblStylePr w:type="lastCol">
      <w:tblPr/>
      <w:tcPr>
        <w:tcBorders>
          <w:top w:val="nil"/>
          <w:left w:val="single" w:color="231F2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hAnsiTheme="majorHAnsi" w:eastAsiaTheme="majorEastAsia" w:cstheme="majorBidi"/>
      <w:color w:val="231F20" w:themeColor="text1"/>
    </w:rPr>
    <w:tblPr>
      <w:tblStyleRowBandSize w:val="1"/>
      <w:tblStyleColBandSize w:val="1"/>
      <w:tblBorders>
        <w:top w:val="single" w:color="8ACED7" w:themeColor="accent1" w:sz="8" w:space="0"/>
        <w:left w:val="single" w:color="8ACED7" w:themeColor="accent1" w:sz="8" w:space="0"/>
        <w:bottom w:val="single" w:color="8ACED7" w:themeColor="accent1" w:sz="8" w:space="0"/>
        <w:right w:val="single" w:color="8ACED7" w:themeColor="accent1" w:sz="8" w:space="0"/>
      </w:tblBorders>
    </w:tblPr>
    <w:tblStylePr w:type="firstRow">
      <w:rPr>
        <w:sz w:val="24"/>
        <w:szCs w:val="24"/>
      </w:rPr>
      <w:tblPr/>
      <w:tcPr>
        <w:tcBorders>
          <w:top w:val="nil"/>
          <w:left w:val="nil"/>
          <w:bottom w:val="single" w:color="8ACED7" w:themeColor="accent1" w:sz="24" w:space="0"/>
          <w:right w:val="nil"/>
          <w:insideH w:val="nil"/>
          <w:insideV w:val="nil"/>
        </w:tcBorders>
        <w:shd w:val="clear" w:color="auto" w:fill="FFFFFF" w:themeFill="background1"/>
      </w:tcPr>
    </w:tblStylePr>
    <w:tblStylePr w:type="lastRow">
      <w:tblPr/>
      <w:tcPr>
        <w:tcBorders>
          <w:top w:val="single" w:color="8ACED7"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ACED7" w:themeColor="accent1" w:sz="8" w:space="0"/>
          <w:insideH w:val="nil"/>
          <w:insideV w:val="nil"/>
        </w:tcBorders>
        <w:shd w:val="clear" w:color="auto" w:fill="FFFFFF" w:themeFill="background1"/>
      </w:tcPr>
    </w:tblStylePr>
    <w:tblStylePr w:type="lastCol">
      <w:tblPr/>
      <w:tcPr>
        <w:tcBorders>
          <w:top w:val="nil"/>
          <w:left w:val="single" w:color="8ACED7"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hAnsiTheme="majorHAnsi" w:eastAsiaTheme="majorEastAsia" w:cstheme="majorBidi"/>
      <w:color w:val="231F20" w:themeColor="text1"/>
    </w:rPr>
    <w:tblPr>
      <w:tblStyleRowBandSize w:val="1"/>
      <w:tblStyleColBandSize w:val="1"/>
      <w:tblBorders>
        <w:top w:val="single" w:color="003263" w:themeColor="accent2" w:sz="8" w:space="0"/>
        <w:left w:val="single" w:color="003263" w:themeColor="accent2" w:sz="8" w:space="0"/>
        <w:bottom w:val="single" w:color="003263" w:themeColor="accent2" w:sz="8" w:space="0"/>
        <w:right w:val="single" w:color="003263" w:themeColor="accent2" w:sz="8" w:space="0"/>
      </w:tblBorders>
    </w:tblPr>
    <w:tblStylePr w:type="firstRow">
      <w:rPr>
        <w:sz w:val="24"/>
        <w:szCs w:val="24"/>
      </w:rPr>
      <w:tblPr/>
      <w:tcPr>
        <w:tcBorders>
          <w:top w:val="nil"/>
          <w:left w:val="nil"/>
          <w:bottom w:val="single" w:color="003263" w:themeColor="accent2" w:sz="24" w:space="0"/>
          <w:right w:val="nil"/>
          <w:insideH w:val="nil"/>
          <w:insideV w:val="nil"/>
        </w:tcBorders>
        <w:shd w:val="clear" w:color="auto" w:fill="FFFFFF" w:themeFill="background1"/>
      </w:tcPr>
    </w:tblStylePr>
    <w:tblStylePr w:type="lastRow">
      <w:tblPr/>
      <w:tcPr>
        <w:tcBorders>
          <w:top w:val="single" w:color="003263"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3263" w:themeColor="accent2" w:sz="8" w:space="0"/>
          <w:insideH w:val="nil"/>
          <w:insideV w:val="nil"/>
        </w:tcBorders>
        <w:shd w:val="clear" w:color="auto" w:fill="FFFFFF" w:themeFill="background1"/>
      </w:tcPr>
    </w:tblStylePr>
    <w:tblStylePr w:type="lastCol">
      <w:tblPr/>
      <w:tcPr>
        <w:tcBorders>
          <w:top w:val="nil"/>
          <w:left w:val="single" w:color="003263"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top w:val="nil"/>
          <w:bottom w:val="nil"/>
          <w:insideH w:val="nil"/>
          <w:insideV w:val="nil"/>
        </w:tcBorders>
        <w:shd w:val="clear" w:color="auto" w:fill="99CC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hAnsiTheme="majorHAnsi" w:eastAsiaTheme="majorEastAsia" w:cstheme="majorBidi"/>
      <w:color w:val="231F20" w:themeColor="text1"/>
    </w:rPr>
    <w:tblPr>
      <w:tblStyleRowBandSize w:val="1"/>
      <w:tblStyleColBandSize w:val="1"/>
      <w:tblBorders>
        <w:top w:val="single" w:color="F04E2D" w:themeColor="accent3" w:sz="8" w:space="0"/>
        <w:left w:val="single" w:color="F04E2D" w:themeColor="accent3" w:sz="8" w:space="0"/>
        <w:bottom w:val="single" w:color="F04E2D" w:themeColor="accent3" w:sz="8" w:space="0"/>
        <w:right w:val="single" w:color="F04E2D" w:themeColor="accent3" w:sz="8" w:space="0"/>
      </w:tblBorders>
    </w:tblPr>
    <w:tblStylePr w:type="firstRow">
      <w:rPr>
        <w:sz w:val="24"/>
        <w:szCs w:val="24"/>
      </w:rPr>
      <w:tblPr/>
      <w:tcPr>
        <w:tcBorders>
          <w:top w:val="nil"/>
          <w:left w:val="nil"/>
          <w:bottom w:val="single" w:color="F04E2D" w:themeColor="accent3" w:sz="24" w:space="0"/>
          <w:right w:val="nil"/>
          <w:insideH w:val="nil"/>
          <w:insideV w:val="nil"/>
        </w:tcBorders>
        <w:shd w:val="clear" w:color="auto" w:fill="FFFFFF" w:themeFill="background1"/>
      </w:tcPr>
    </w:tblStylePr>
    <w:tblStylePr w:type="lastRow">
      <w:tblPr/>
      <w:tcPr>
        <w:tcBorders>
          <w:top w:val="single" w:color="F04E2D"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04E2D" w:themeColor="accent3" w:sz="8" w:space="0"/>
          <w:insideH w:val="nil"/>
          <w:insideV w:val="nil"/>
        </w:tcBorders>
        <w:shd w:val="clear" w:color="auto" w:fill="FFFFFF" w:themeFill="background1"/>
      </w:tcPr>
    </w:tblStylePr>
    <w:tblStylePr w:type="lastCol">
      <w:tblPr/>
      <w:tcPr>
        <w:tcBorders>
          <w:top w:val="nil"/>
          <w:left w:val="single" w:color="F04E2D"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top w:val="nil"/>
          <w:bottom w:val="nil"/>
          <w:insideH w:val="nil"/>
          <w:insideV w:val="nil"/>
        </w:tcBorders>
        <w:shd w:val="clear" w:color="auto" w:fill="FBD3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hAnsiTheme="majorHAnsi" w:eastAsiaTheme="majorEastAsia" w:cstheme="majorBidi"/>
      <w:color w:val="231F20" w:themeColor="text1"/>
    </w:rPr>
    <w:tblPr>
      <w:tblStyleRowBandSize w:val="1"/>
      <w:tblStyleColBandSize w:val="1"/>
      <w:tblBorders>
        <w:top w:val="single" w:color="50BFA2" w:themeColor="accent4" w:sz="8" w:space="0"/>
        <w:left w:val="single" w:color="50BFA2" w:themeColor="accent4" w:sz="8" w:space="0"/>
        <w:bottom w:val="single" w:color="50BFA2" w:themeColor="accent4" w:sz="8" w:space="0"/>
        <w:right w:val="single" w:color="50BFA2" w:themeColor="accent4" w:sz="8" w:space="0"/>
      </w:tblBorders>
    </w:tblPr>
    <w:tblStylePr w:type="firstRow">
      <w:rPr>
        <w:sz w:val="24"/>
        <w:szCs w:val="24"/>
      </w:rPr>
      <w:tblPr/>
      <w:tcPr>
        <w:tcBorders>
          <w:top w:val="nil"/>
          <w:left w:val="nil"/>
          <w:bottom w:val="single" w:color="50BFA2" w:themeColor="accent4" w:sz="24" w:space="0"/>
          <w:right w:val="nil"/>
          <w:insideH w:val="nil"/>
          <w:insideV w:val="nil"/>
        </w:tcBorders>
        <w:shd w:val="clear" w:color="auto" w:fill="FFFFFF" w:themeFill="background1"/>
      </w:tcPr>
    </w:tblStylePr>
    <w:tblStylePr w:type="lastRow">
      <w:tblPr/>
      <w:tcPr>
        <w:tcBorders>
          <w:top w:val="single" w:color="50BF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0BFA2" w:themeColor="accent4" w:sz="8" w:space="0"/>
          <w:insideH w:val="nil"/>
          <w:insideV w:val="nil"/>
        </w:tcBorders>
        <w:shd w:val="clear" w:color="auto" w:fill="FFFFFF" w:themeFill="background1"/>
      </w:tcPr>
    </w:tblStylePr>
    <w:tblStylePr w:type="lastCol">
      <w:tblPr/>
      <w:tcPr>
        <w:tcBorders>
          <w:top w:val="nil"/>
          <w:left w:val="single" w:color="50BF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top w:val="nil"/>
          <w:bottom w:val="nil"/>
          <w:insideH w:val="nil"/>
          <w:insideV w:val="nil"/>
        </w:tcBorders>
        <w:shd w:val="clear" w:color="auto" w:fill="D3E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hAnsiTheme="majorHAnsi" w:eastAsiaTheme="majorEastAsia" w:cstheme="majorBidi"/>
      <w:color w:val="231F20" w:themeColor="text1"/>
    </w:rPr>
    <w:tblPr>
      <w:tblStyleRowBandSize w:val="1"/>
      <w:tblStyleColBandSize w:val="1"/>
      <w:tblBorders>
        <w:top w:val="single" w:color="9A64A9" w:themeColor="accent5" w:sz="8" w:space="0"/>
        <w:left w:val="single" w:color="9A64A9" w:themeColor="accent5" w:sz="8" w:space="0"/>
        <w:bottom w:val="single" w:color="9A64A9" w:themeColor="accent5" w:sz="8" w:space="0"/>
        <w:right w:val="single" w:color="9A64A9" w:themeColor="accent5" w:sz="8" w:space="0"/>
      </w:tblBorders>
    </w:tblPr>
    <w:tblStylePr w:type="firstRow">
      <w:rPr>
        <w:sz w:val="24"/>
        <w:szCs w:val="24"/>
      </w:rPr>
      <w:tblPr/>
      <w:tcPr>
        <w:tcBorders>
          <w:top w:val="nil"/>
          <w:left w:val="nil"/>
          <w:bottom w:val="single" w:color="9A64A9" w:themeColor="accent5" w:sz="24" w:space="0"/>
          <w:right w:val="nil"/>
          <w:insideH w:val="nil"/>
          <w:insideV w:val="nil"/>
        </w:tcBorders>
        <w:shd w:val="clear" w:color="auto" w:fill="FFFFFF" w:themeFill="background1"/>
      </w:tcPr>
    </w:tblStylePr>
    <w:tblStylePr w:type="lastRow">
      <w:tblPr/>
      <w:tcPr>
        <w:tcBorders>
          <w:top w:val="single" w:color="9A64A9"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A64A9" w:themeColor="accent5" w:sz="8" w:space="0"/>
          <w:insideH w:val="nil"/>
          <w:insideV w:val="nil"/>
        </w:tcBorders>
        <w:shd w:val="clear" w:color="auto" w:fill="FFFFFF" w:themeFill="background1"/>
      </w:tcPr>
    </w:tblStylePr>
    <w:tblStylePr w:type="lastCol">
      <w:tblPr/>
      <w:tcPr>
        <w:tcBorders>
          <w:top w:val="nil"/>
          <w:left w:val="single" w:color="9A64A9"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top w:val="nil"/>
          <w:bottom w:val="nil"/>
          <w:insideH w:val="nil"/>
          <w:insideV w:val="nil"/>
        </w:tcBorders>
        <w:shd w:val="clear" w:color="auto" w:fill="E6D8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hAnsiTheme="majorHAnsi" w:eastAsiaTheme="majorEastAsia" w:cstheme="majorBidi"/>
      <w:color w:val="231F20" w:themeColor="text1"/>
    </w:rPr>
    <w:tblPr>
      <w:tblStyleRowBandSize w:val="1"/>
      <w:tblStyleColBandSize w:val="1"/>
      <w:tblBorders>
        <w:top w:val="single" w:color="FFCF62" w:themeColor="accent6" w:sz="8" w:space="0"/>
        <w:left w:val="single" w:color="FFCF62" w:themeColor="accent6" w:sz="8" w:space="0"/>
        <w:bottom w:val="single" w:color="FFCF62" w:themeColor="accent6" w:sz="8" w:space="0"/>
        <w:right w:val="single" w:color="FFCF62" w:themeColor="accent6" w:sz="8" w:space="0"/>
      </w:tblBorders>
    </w:tblPr>
    <w:tblStylePr w:type="firstRow">
      <w:rPr>
        <w:sz w:val="24"/>
        <w:szCs w:val="24"/>
      </w:rPr>
      <w:tblPr/>
      <w:tcPr>
        <w:tcBorders>
          <w:top w:val="nil"/>
          <w:left w:val="nil"/>
          <w:bottom w:val="single" w:color="FFCF62" w:themeColor="accent6" w:sz="24" w:space="0"/>
          <w:right w:val="nil"/>
          <w:insideH w:val="nil"/>
          <w:insideV w:val="nil"/>
        </w:tcBorders>
        <w:shd w:val="clear" w:color="auto" w:fill="FFFFFF" w:themeFill="background1"/>
      </w:tcPr>
    </w:tblStylePr>
    <w:tblStylePr w:type="lastRow">
      <w:tblPr/>
      <w:tcPr>
        <w:tcBorders>
          <w:top w:val="single" w:color="FFCF62"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FCF62" w:themeColor="accent6" w:sz="8" w:space="0"/>
          <w:insideH w:val="nil"/>
          <w:insideV w:val="nil"/>
        </w:tcBorders>
        <w:shd w:val="clear" w:color="auto" w:fill="FFFFFF" w:themeFill="background1"/>
      </w:tcPr>
    </w:tblStylePr>
    <w:tblStylePr w:type="lastCol">
      <w:tblPr/>
      <w:tcPr>
        <w:tcBorders>
          <w:top w:val="nil"/>
          <w:left w:val="single" w:color="FFCF62"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top w:val="nil"/>
          <w:bottom w:val="nil"/>
          <w:insideH w:val="nil"/>
          <w:insideV w:val="nil"/>
        </w:tcBorders>
        <w:shd w:val="clear" w:color="auto" w:fill="FFF3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color="5D5356" w:themeColor="text1" w:themeTint="BF" w:sz="8" w:space="0"/>
        <w:left w:val="single" w:color="5D5356" w:themeColor="text1" w:themeTint="BF" w:sz="8" w:space="0"/>
        <w:bottom w:val="single" w:color="5D5356" w:themeColor="text1" w:themeTint="BF" w:sz="8" w:space="0"/>
        <w:right w:val="single" w:color="5D5356" w:themeColor="text1" w:themeTint="BF" w:sz="8" w:space="0"/>
        <w:insideH w:val="single" w:color="5D5356" w:themeColor="text1" w:themeTint="BF" w:sz="8" w:space="0"/>
      </w:tblBorders>
    </w:tblPr>
    <w:tblStylePr w:type="firstRow">
      <w:pPr>
        <w:spacing w:before="0" w:after="0" w:line="240" w:lineRule="auto"/>
      </w:pPr>
      <w:rPr>
        <w:b/>
        <w:bCs/>
        <w:color w:val="FFFFFF" w:themeColor="background1"/>
      </w:rPr>
      <w:tblPr/>
      <w:tcPr>
        <w:tcBorders>
          <w:top w:val="single" w:color="5D5356" w:themeColor="text1" w:themeTint="BF" w:sz="8" w:space="0"/>
          <w:left w:val="single" w:color="5D5356" w:themeColor="text1" w:themeTint="BF" w:sz="8" w:space="0"/>
          <w:bottom w:val="single" w:color="5D5356" w:themeColor="text1" w:themeTint="BF" w:sz="8" w:space="0"/>
          <w:right w:val="single" w:color="5D5356" w:themeColor="text1" w:themeTint="BF" w:sz="8" w:space="0"/>
          <w:insideH w:val="nil"/>
          <w:insideV w:val="nil"/>
        </w:tcBorders>
        <w:shd w:val="clear" w:color="auto" w:fill="231F20" w:themeFill="text1"/>
      </w:tcPr>
    </w:tblStylePr>
    <w:tblStylePr w:type="lastRow">
      <w:pPr>
        <w:spacing w:before="0" w:after="0" w:line="240" w:lineRule="auto"/>
      </w:pPr>
      <w:rPr>
        <w:b/>
        <w:bCs/>
      </w:rPr>
      <w:tblPr/>
      <w:tcPr>
        <w:tcBorders>
          <w:top w:val="double" w:color="5D5356" w:themeColor="text1" w:themeTint="BF" w:sz="6" w:space="0"/>
          <w:left w:val="single" w:color="5D5356" w:themeColor="text1" w:themeTint="BF" w:sz="8" w:space="0"/>
          <w:bottom w:val="single" w:color="5D5356" w:themeColor="text1" w:themeTint="BF" w:sz="8" w:space="0"/>
          <w:right w:val="single" w:color="5D5356"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color="A7DAE1" w:themeColor="accent1" w:themeTint="BF" w:sz="8" w:space="0"/>
        <w:left w:val="single" w:color="A7DAE1" w:themeColor="accent1" w:themeTint="BF" w:sz="8" w:space="0"/>
        <w:bottom w:val="single" w:color="A7DAE1" w:themeColor="accent1" w:themeTint="BF" w:sz="8" w:space="0"/>
        <w:right w:val="single" w:color="A7DAE1" w:themeColor="accent1" w:themeTint="BF" w:sz="8" w:space="0"/>
        <w:insideH w:val="single" w:color="A7DAE1" w:themeColor="accent1" w:themeTint="BF" w:sz="8" w:space="0"/>
      </w:tblBorders>
    </w:tblPr>
    <w:tblStylePr w:type="firstRow">
      <w:pPr>
        <w:spacing w:before="0" w:after="0" w:line="240" w:lineRule="auto"/>
      </w:pPr>
      <w:rPr>
        <w:b/>
        <w:bCs/>
        <w:color w:val="FFFFFF" w:themeColor="background1"/>
      </w:rPr>
      <w:tblPr/>
      <w:tcPr>
        <w:tcBorders>
          <w:top w:val="single" w:color="A7DAE1" w:themeColor="accent1" w:themeTint="BF" w:sz="8" w:space="0"/>
          <w:left w:val="single" w:color="A7DAE1" w:themeColor="accent1" w:themeTint="BF" w:sz="8" w:space="0"/>
          <w:bottom w:val="single" w:color="A7DAE1" w:themeColor="accent1" w:themeTint="BF" w:sz="8" w:space="0"/>
          <w:right w:val="single" w:color="A7DAE1" w:themeColor="accent1" w:themeTint="BF" w:sz="8" w:space="0"/>
          <w:insideH w:val="nil"/>
          <w:insideV w:val="nil"/>
        </w:tcBorders>
        <w:shd w:val="clear" w:color="auto" w:fill="8ACED7" w:themeFill="accent1"/>
      </w:tcPr>
    </w:tblStylePr>
    <w:tblStylePr w:type="lastRow">
      <w:pPr>
        <w:spacing w:before="0" w:after="0" w:line="240" w:lineRule="auto"/>
      </w:pPr>
      <w:rPr>
        <w:b/>
        <w:bCs/>
      </w:rPr>
      <w:tblPr/>
      <w:tcPr>
        <w:tcBorders>
          <w:top w:val="double" w:color="A7DAE1" w:themeColor="accent1" w:themeTint="BF" w:sz="6" w:space="0"/>
          <w:left w:val="single" w:color="A7DAE1" w:themeColor="accent1" w:themeTint="BF" w:sz="8" w:space="0"/>
          <w:bottom w:val="single" w:color="A7DAE1" w:themeColor="accent1" w:themeTint="BF" w:sz="8" w:space="0"/>
          <w:right w:val="single" w:color="A7DAE1"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color="0065CA" w:themeColor="accent2" w:themeTint="BF" w:sz="8" w:space="0"/>
        <w:left w:val="single" w:color="0065CA" w:themeColor="accent2" w:themeTint="BF" w:sz="8" w:space="0"/>
        <w:bottom w:val="single" w:color="0065CA" w:themeColor="accent2" w:themeTint="BF" w:sz="8" w:space="0"/>
        <w:right w:val="single" w:color="0065CA" w:themeColor="accent2" w:themeTint="BF" w:sz="8" w:space="0"/>
        <w:insideH w:val="single" w:color="0065CA" w:themeColor="accent2" w:themeTint="BF" w:sz="8" w:space="0"/>
      </w:tblBorders>
    </w:tblPr>
    <w:tblStylePr w:type="firstRow">
      <w:pPr>
        <w:spacing w:before="0" w:after="0" w:line="240" w:lineRule="auto"/>
      </w:pPr>
      <w:rPr>
        <w:b/>
        <w:bCs/>
        <w:color w:val="FFFFFF" w:themeColor="background1"/>
      </w:rPr>
      <w:tblPr/>
      <w:tcPr>
        <w:tcBorders>
          <w:top w:val="single" w:color="0065CA" w:themeColor="accent2" w:themeTint="BF" w:sz="8" w:space="0"/>
          <w:left w:val="single" w:color="0065CA" w:themeColor="accent2" w:themeTint="BF" w:sz="8" w:space="0"/>
          <w:bottom w:val="single" w:color="0065CA" w:themeColor="accent2" w:themeTint="BF" w:sz="8" w:space="0"/>
          <w:right w:val="single" w:color="0065CA" w:themeColor="accent2" w:themeTint="BF" w:sz="8" w:space="0"/>
          <w:insideH w:val="nil"/>
          <w:insideV w:val="nil"/>
        </w:tcBorders>
        <w:shd w:val="clear" w:color="auto" w:fill="003263" w:themeFill="accent2"/>
      </w:tcPr>
    </w:tblStylePr>
    <w:tblStylePr w:type="lastRow">
      <w:pPr>
        <w:spacing w:before="0" w:after="0" w:line="240" w:lineRule="auto"/>
      </w:pPr>
      <w:rPr>
        <w:b/>
        <w:bCs/>
      </w:rPr>
      <w:tblPr/>
      <w:tcPr>
        <w:tcBorders>
          <w:top w:val="double" w:color="0065CA" w:themeColor="accent2" w:themeTint="BF" w:sz="6" w:space="0"/>
          <w:left w:val="single" w:color="0065CA" w:themeColor="accent2" w:themeTint="BF" w:sz="8" w:space="0"/>
          <w:bottom w:val="single" w:color="0065CA" w:themeColor="accent2" w:themeTint="BF" w:sz="8" w:space="0"/>
          <w:right w:val="single" w:color="0065CA"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99CCFF" w:themeFill="accent2" w:themeFillTint="3F"/>
      </w:tcPr>
    </w:tblStylePr>
    <w:tblStylePr w:type="band1Horz">
      <w:tblPr/>
      <w:tcPr>
        <w:tcBorders>
          <w:insideH w:val="nil"/>
          <w:insideV w:val="nil"/>
        </w:tcBorders>
        <w:shd w:val="clear" w:color="auto" w:fill="99CC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color="F37A61" w:themeColor="accent3" w:themeTint="BF" w:sz="8" w:space="0"/>
        <w:left w:val="single" w:color="F37A61" w:themeColor="accent3" w:themeTint="BF" w:sz="8" w:space="0"/>
        <w:bottom w:val="single" w:color="F37A61" w:themeColor="accent3" w:themeTint="BF" w:sz="8" w:space="0"/>
        <w:right w:val="single" w:color="F37A61" w:themeColor="accent3" w:themeTint="BF" w:sz="8" w:space="0"/>
        <w:insideH w:val="single" w:color="F37A61" w:themeColor="accent3" w:themeTint="BF" w:sz="8" w:space="0"/>
      </w:tblBorders>
    </w:tblPr>
    <w:tblStylePr w:type="firstRow">
      <w:pPr>
        <w:spacing w:before="0" w:after="0" w:line="240" w:lineRule="auto"/>
      </w:pPr>
      <w:rPr>
        <w:b/>
        <w:bCs/>
        <w:color w:val="FFFFFF" w:themeColor="background1"/>
      </w:rPr>
      <w:tblPr/>
      <w:tcPr>
        <w:tcBorders>
          <w:top w:val="single" w:color="F37A61" w:themeColor="accent3" w:themeTint="BF" w:sz="8" w:space="0"/>
          <w:left w:val="single" w:color="F37A61" w:themeColor="accent3" w:themeTint="BF" w:sz="8" w:space="0"/>
          <w:bottom w:val="single" w:color="F37A61" w:themeColor="accent3" w:themeTint="BF" w:sz="8" w:space="0"/>
          <w:right w:val="single" w:color="F37A61" w:themeColor="accent3" w:themeTint="BF" w:sz="8" w:space="0"/>
          <w:insideH w:val="nil"/>
          <w:insideV w:val="nil"/>
        </w:tcBorders>
        <w:shd w:val="clear" w:color="auto" w:fill="F04E2D" w:themeFill="accent3"/>
      </w:tcPr>
    </w:tblStylePr>
    <w:tblStylePr w:type="lastRow">
      <w:pPr>
        <w:spacing w:before="0" w:after="0" w:line="240" w:lineRule="auto"/>
      </w:pPr>
      <w:rPr>
        <w:b/>
        <w:bCs/>
      </w:rPr>
      <w:tblPr/>
      <w:tcPr>
        <w:tcBorders>
          <w:top w:val="double" w:color="F37A61" w:themeColor="accent3" w:themeTint="BF" w:sz="6" w:space="0"/>
          <w:left w:val="single" w:color="F37A61" w:themeColor="accent3" w:themeTint="BF" w:sz="8" w:space="0"/>
          <w:bottom w:val="single" w:color="F37A61" w:themeColor="accent3" w:themeTint="BF" w:sz="8" w:space="0"/>
          <w:right w:val="single" w:color="F37A61"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FBD3CB" w:themeFill="accent3" w:themeFillTint="3F"/>
      </w:tcPr>
    </w:tblStylePr>
    <w:tblStylePr w:type="band1Horz">
      <w:tblPr/>
      <w:tcPr>
        <w:tcBorders>
          <w:insideH w:val="nil"/>
          <w:insideV w:val="nil"/>
        </w:tcBorders>
        <w:shd w:val="clear" w:color="auto" w:fill="FBD3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color="7BCFB9" w:themeColor="accent4" w:themeTint="BF" w:sz="8" w:space="0"/>
        <w:left w:val="single" w:color="7BCFB9" w:themeColor="accent4" w:themeTint="BF" w:sz="8" w:space="0"/>
        <w:bottom w:val="single" w:color="7BCFB9" w:themeColor="accent4" w:themeTint="BF" w:sz="8" w:space="0"/>
        <w:right w:val="single" w:color="7BCFB9" w:themeColor="accent4" w:themeTint="BF" w:sz="8" w:space="0"/>
        <w:insideH w:val="single" w:color="7BCFB9" w:themeColor="accent4" w:themeTint="BF" w:sz="8" w:space="0"/>
      </w:tblBorders>
    </w:tblPr>
    <w:tblStylePr w:type="firstRow">
      <w:pPr>
        <w:spacing w:before="0" w:after="0" w:line="240" w:lineRule="auto"/>
      </w:pPr>
      <w:rPr>
        <w:b/>
        <w:bCs/>
        <w:color w:val="FFFFFF" w:themeColor="background1"/>
      </w:rPr>
      <w:tblPr/>
      <w:tcPr>
        <w:tcBorders>
          <w:top w:val="single" w:color="7BCFB9" w:themeColor="accent4" w:themeTint="BF" w:sz="8" w:space="0"/>
          <w:left w:val="single" w:color="7BCFB9" w:themeColor="accent4" w:themeTint="BF" w:sz="8" w:space="0"/>
          <w:bottom w:val="single" w:color="7BCFB9" w:themeColor="accent4" w:themeTint="BF" w:sz="8" w:space="0"/>
          <w:right w:val="single" w:color="7BCFB9" w:themeColor="accent4" w:themeTint="BF" w:sz="8" w:space="0"/>
          <w:insideH w:val="nil"/>
          <w:insideV w:val="nil"/>
        </w:tcBorders>
        <w:shd w:val="clear" w:color="auto" w:fill="50BFA2" w:themeFill="accent4"/>
      </w:tcPr>
    </w:tblStylePr>
    <w:tblStylePr w:type="lastRow">
      <w:pPr>
        <w:spacing w:before="0" w:after="0" w:line="240" w:lineRule="auto"/>
      </w:pPr>
      <w:rPr>
        <w:b/>
        <w:bCs/>
      </w:rPr>
      <w:tblPr/>
      <w:tcPr>
        <w:tcBorders>
          <w:top w:val="double" w:color="7BCFB9" w:themeColor="accent4" w:themeTint="BF" w:sz="6" w:space="0"/>
          <w:left w:val="single" w:color="7BCFB9" w:themeColor="accent4" w:themeTint="BF" w:sz="8" w:space="0"/>
          <w:bottom w:val="single" w:color="7BCFB9" w:themeColor="accent4" w:themeTint="BF" w:sz="8" w:space="0"/>
          <w:right w:val="single" w:color="7BCF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3EFE7" w:themeFill="accent4" w:themeFillTint="3F"/>
      </w:tcPr>
    </w:tblStylePr>
    <w:tblStylePr w:type="band1Horz">
      <w:tblPr/>
      <w:tcPr>
        <w:tcBorders>
          <w:insideH w:val="nil"/>
          <w:insideV w:val="nil"/>
        </w:tcBorders>
        <w:shd w:val="clear" w:color="auto" w:fill="D3E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color="B38ABE" w:themeColor="accent5" w:themeTint="BF" w:sz="8" w:space="0"/>
        <w:left w:val="single" w:color="B38ABE" w:themeColor="accent5" w:themeTint="BF" w:sz="8" w:space="0"/>
        <w:bottom w:val="single" w:color="B38ABE" w:themeColor="accent5" w:themeTint="BF" w:sz="8" w:space="0"/>
        <w:right w:val="single" w:color="B38ABE" w:themeColor="accent5" w:themeTint="BF" w:sz="8" w:space="0"/>
        <w:insideH w:val="single" w:color="B38ABE" w:themeColor="accent5" w:themeTint="BF" w:sz="8" w:space="0"/>
      </w:tblBorders>
    </w:tblPr>
    <w:tblStylePr w:type="firstRow">
      <w:pPr>
        <w:spacing w:before="0" w:after="0" w:line="240" w:lineRule="auto"/>
      </w:pPr>
      <w:rPr>
        <w:b/>
        <w:bCs/>
        <w:color w:val="FFFFFF" w:themeColor="background1"/>
      </w:rPr>
      <w:tblPr/>
      <w:tcPr>
        <w:tcBorders>
          <w:top w:val="single" w:color="B38ABE" w:themeColor="accent5" w:themeTint="BF" w:sz="8" w:space="0"/>
          <w:left w:val="single" w:color="B38ABE" w:themeColor="accent5" w:themeTint="BF" w:sz="8" w:space="0"/>
          <w:bottom w:val="single" w:color="B38ABE" w:themeColor="accent5" w:themeTint="BF" w:sz="8" w:space="0"/>
          <w:right w:val="single" w:color="B38ABE" w:themeColor="accent5" w:themeTint="BF" w:sz="8" w:space="0"/>
          <w:insideH w:val="nil"/>
          <w:insideV w:val="nil"/>
        </w:tcBorders>
        <w:shd w:val="clear" w:color="auto" w:fill="9A64A9" w:themeFill="accent5"/>
      </w:tcPr>
    </w:tblStylePr>
    <w:tblStylePr w:type="lastRow">
      <w:pPr>
        <w:spacing w:before="0" w:after="0" w:line="240" w:lineRule="auto"/>
      </w:pPr>
      <w:rPr>
        <w:b/>
        <w:bCs/>
      </w:rPr>
      <w:tblPr/>
      <w:tcPr>
        <w:tcBorders>
          <w:top w:val="double" w:color="B38ABE" w:themeColor="accent5" w:themeTint="BF" w:sz="6" w:space="0"/>
          <w:left w:val="single" w:color="B38ABE" w:themeColor="accent5" w:themeTint="BF" w:sz="8" w:space="0"/>
          <w:bottom w:val="single" w:color="B38ABE" w:themeColor="accent5" w:themeTint="BF" w:sz="8" w:space="0"/>
          <w:right w:val="single" w:color="B38ABE"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E6D8E9" w:themeFill="accent5" w:themeFillTint="3F"/>
      </w:tcPr>
    </w:tblStylePr>
    <w:tblStylePr w:type="band1Horz">
      <w:tblPr/>
      <w:tcPr>
        <w:tcBorders>
          <w:insideH w:val="nil"/>
          <w:insideV w:val="nil"/>
        </w:tcBorders>
        <w:shd w:val="clear" w:color="auto" w:fill="E6D8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color="FFDB89" w:themeColor="accent6" w:themeTint="BF" w:sz="8" w:space="0"/>
        <w:left w:val="single" w:color="FFDB89" w:themeColor="accent6" w:themeTint="BF" w:sz="8" w:space="0"/>
        <w:bottom w:val="single" w:color="FFDB89" w:themeColor="accent6" w:themeTint="BF" w:sz="8" w:space="0"/>
        <w:right w:val="single" w:color="FFDB89" w:themeColor="accent6" w:themeTint="BF" w:sz="8" w:space="0"/>
        <w:insideH w:val="single" w:color="FFDB89" w:themeColor="accent6" w:themeTint="BF" w:sz="8" w:space="0"/>
      </w:tblBorders>
    </w:tblPr>
    <w:tblStylePr w:type="firstRow">
      <w:pPr>
        <w:spacing w:before="0" w:after="0" w:line="240" w:lineRule="auto"/>
      </w:pPr>
      <w:rPr>
        <w:b/>
        <w:bCs/>
        <w:color w:val="FFFFFF" w:themeColor="background1"/>
      </w:rPr>
      <w:tblPr/>
      <w:tcPr>
        <w:tcBorders>
          <w:top w:val="single" w:color="FFDB89" w:themeColor="accent6" w:themeTint="BF" w:sz="8" w:space="0"/>
          <w:left w:val="single" w:color="FFDB89" w:themeColor="accent6" w:themeTint="BF" w:sz="8" w:space="0"/>
          <w:bottom w:val="single" w:color="FFDB89" w:themeColor="accent6" w:themeTint="BF" w:sz="8" w:space="0"/>
          <w:right w:val="single" w:color="FFDB89" w:themeColor="accent6" w:themeTint="BF" w:sz="8" w:space="0"/>
          <w:insideH w:val="nil"/>
          <w:insideV w:val="nil"/>
        </w:tcBorders>
        <w:shd w:val="clear" w:color="auto" w:fill="FFCF62" w:themeFill="accent6"/>
      </w:tcPr>
    </w:tblStylePr>
    <w:tblStylePr w:type="lastRow">
      <w:pPr>
        <w:spacing w:before="0" w:after="0" w:line="240" w:lineRule="auto"/>
      </w:pPr>
      <w:rPr>
        <w:b/>
        <w:bCs/>
      </w:rPr>
      <w:tblPr/>
      <w:tcPr>
        <w:tcBorders>
          <w:top w:val="double" w:color="FFDB89" w:themeColor="accent6" w:themeTint="BF" w:sz="6" w:space="0"/>
          <w:left w:val="single" w:color="FFDB89" w:themeColor="accent6" w:themeTint="BF" w:sz="8" w:space="0"/>
          <w:bottom w:val="single" w:color="FFDB89" w:themeColor="accent6" w:themeTint="BF" w:sz="8" w:space="0"/>
          <w:right w:val="single" w:color="FFDB89"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FF3D8" w:themeFill="accent6" w:themeFillTint="3F"/>
      </w:tcPr>
    </w:tblStylePr>
    <w:tblStylePr w:type="band1Horz">
      <w:tblPr/>
      <w:tcPr>
        <w:tcBorders>
          <w:insideH w:val="nil"/>
          <w:insideV w:val="nil"/>
        </w:tcBorders>
        <w:shd w:val="clear" w:color="auto" w:fill="FFF3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3263"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3263" w:themeFill="accent2"/>
      </w:tcPr>
    </w:tblStylePr>
    <w:tblStylePr w:type="lastCol">
      <w:rPr>
        <w:b/>
        <w:bCs/>
        <w:color w:val="FFFFFF" w:themeColor="background1"/>
      </w:rPr>
      <w:tblPr/>
      <w:tcPr>
        <w:tcBorders>
          <w:left w:val="nil"/>
          <w:right w:val="nil"/>
          <w:insideH w:val="nil"/>
          <w:insideV w:val="nil"/>
        </w:tcBorders>
        <w:shd w:val="clear" w:color="auto" w:fill="00326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04E2D"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04E2D" w:themeFill="accent3"/>
      </w:tcPr>
    </w:tblStylePr>
    <w:tblStylePr w:type="lastCol">
      <w:rPr>
        <w:b/>
        <w:bCs/>
        <w:color w:val="FFFFFF" w:themeColor="background1"/>
      </w:rPr>
      <w:tblPr/>
      <w:tcPr>
        <w:tcBorders>
          <w:left w:val="nil"/>
          <w:right w:val="nil"/>
          <w:insideH w:val="nil"/>
          <w:insideV w:val="nil"/>
        </w:tcBorders>
        <w:shd w:val="clear" w:color="auto" w:fill="F04E2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50BF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50BFA2" w:themeFill="accent4"/>
      </w:tcPr>
    </w:tblStylePr>
    <w:tblStylePr w:type="lastCol">
      <w:rPr>
        <w:b/>
        <w:bCs/>
        <w:color w:val="FFFFFF" w:themeColor="background1"/>
      </w:rPr>
      <w:tblPr/>
      <w:tcPr>
        <w:tcBorders>
          <w:left w:val="nil"/>
          <w:right w:val="nil"/>
          <w:insideH w:val="nil"/>
          <w:insideV w:val="nil"/>
        </w:tcBorders>
        <w:shd w:val="clear" w:color="auto" w:fill="50BF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A64A9"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A64A9" w:themeFill="accent5"/>
      </w:tcPr>
    </w:tblStylePr>
    <w:tblStylePr w:type="lastCol">
      <w:rPr>
        <w:b/>
        <w:bCs/>
        <w:color w:val="FFFFFF" w:themeColor="background1"/>
      </w:rPr>
      <w:tblPr/>
      <w:tcPr>
        <w:tcBorders>
          <w:left w:val="nil"/>
          <w:right w:val="nil"/>
          <w:insideH w:val="nil"/>
          <w:insideV w:val="nil"/>
        </w:tcBorders>
        <w:shd w:val="clear" w:color="auto" w:fill="9A64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FCF62"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FCF62" w:themeFill="accent6"/>
      </w:tcPr>
    </w:tblStylePr>
    <w:tblStylePr w:type="lastCol">
      <w:rPr>
        <w:b/>
        <w:bCs/>
        <w:color w:val="FFFFFF" w:themeColor="background1"/>
      </w:rPr>
      <w:tblPr/>
      <w:tcPr>
        <w:tcBorders>
          <w:left w:val="nil"/>
          <w:right w:val="nil"/>
          <w:insideH w:val="nil"/>
          <w:insideV w:val="nil"/>
        </w:tcBorders>
        <w:shd w:val="clear" w:color="auto" w:fill="FFCF6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PlainTable1">
    <w:name w:val="Plain Table 1"/>
    <w:basedOn w:val="TableNormal"/>
    <w:uiPriority w:val="41"/>
    <w:rsid w:val="00B60586"/>
    <w:pPr>
      <w:spacing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60586"/>
    <w:pPr>
      <w:spacing w:line="240" w:lineRule="auto"/>
    </w:pPr>
    <w:tblPr>
      <w:tblStyleRowBandSize w:val="1"/>
      <w:tblStyleColBandSize w:val="1"/>
      <w:tblBorders>
        <w:top w:val="single" w:color="96888C" w:themeColor="text1" w:themeTint="80" w:sz="4" w:space="0"/>
        <w:bottom w:val="single" w:color="96888C" w:themeColor="text1" w:themeTint="80" w:sz="4" w:space="0"/>
      </w:tblBorders>
    </w:tblPr>
    <w:tblStylePr w:type="firstRow">
      <w:rPr>
        <w:b/>
        <w:bCs/>
      </w:rPr>
      <w:tblPr/>
      <w:tcPr>
        <w:tcBorders>
          <w:bottom w:val="single" w:color="96888C" w:themeColor="text1" w:themeTint="80" w:sz="4" w:space="0"/>
        </w:tcBorders>
      </w:tcPr>
    </w:tblStylePr>
    <w:tblStylePr w:type="lastRow">
      <w:rPr>
        <w:b/>
        <w:bCs/>
      </w:rPr>
      <w:tblPr/>
      <w:tcPr>
        <w:tcBorders>
          <w:top w:val="single" w:color="96888C" w:themeColor="text1" w:themeTint="80" w:sz="4" w:space="0"/>
        </w:tcBorders>
      </w:tcPr>
    </w:tblStylePr>
    <w:tblStylePr w:type="firstCol">
      <w:rPr>
        <w:b/>
        <w:bCs/>
      </w:rPr>
    </w:tblStylePr>
    <w:tblStylePr w:type="lastCol">
      <w:rPr>
        <w:b/>
        <w:bCs/>
      </w:rPr>
    </w:tblStylePr>
    <w:tblStylePr w:type="band1Vert">
      <w:tblPr/>
      <w:tcPr>
        <w:tcBorders>
          <w:left w:val="single" w:color="96888C" w:themeColor="text1" w:themeTint="80" w:sz="4" w:space="0"/>
          <w:right w:val="single" w:color="96888C" w:themeColor="text1" w:themeTint="80" w:sz="4" w:space="0"/>
        </w:tcBorders>
      </w:tcPr>
    </w:tblStylePr>
    <w:tblStylePr w:type="band2Vert">
      <w:tblPr/>
      <w:tcPr>
        <w:tcBorders>
          <w:left w:val="single" w:color="96888C" w:themeColor="text1" w:themeTint="80" w:sz="4" w:space="0"/>
          <w:right w:val="single" w:color="96888C" w:themeColor="text1" w:themeTint="80" w:sz="4" w:space="0"/>
        </w:tcBorders>
      </w:tcPr>
    </w:tblStylePr>
    <w:tblStylePr w:type="band1Horz">
      <w:tblPr/>
      <w:tcPr>
        <w:tcBorders>
          <w:top w:val="single" w:color="96888C" w:themeColor="text1" w:themeTint="80" w:sz="4" w:space="0"/>
          <w:bottom w:val="single" w:color="96888C" w:themeColor="text1" w:themeTint="80" w:sz="4" w:space="0"/>
        </w:tcBorders>
      </w:tcPr>
    </w:tblStylePr>
  </w:style>
  <w:style w:type="table" w:styleId="PlainTable3">
    <w:name w:val="Plain Table 3"/>
    <w:basedOn w:val="TableNormal"/>
    <w:uiPriority w:val="43"/>
    <w:rsid w:val="00B60586"/>
    <w:pPr>
      <w:spacing w:line="240" w:lineRule="auto"/>
    </w:pPr>
    <w:tblPr>
      <w:tblStyleRowBandSize w:val="1"/>
      <w:tblStyleColBandSize w:val="1"/>
    </w:tblPr>
    <w:tblStylePr w:type="firstRow">
      <w:rPr>
        <w:b/>
        <w:bCs/>
        <w:caps/>
      </w:rPr>
      <w:tblPr/>
      <w:tcPr>
        <w:tcBorders>
          <w:bottom w:val="single" w:color="96888C"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96888C"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60586"/>
    <w:pPr>
      <w:spacing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96888C"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96888C"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96888C"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96888C"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B60586"/>
    <w:pPr>
      <w:spacing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BodyTextAfterListTable" w:customStyle="1">
    <w:name w:val="Body Text After List/Table"/>
    <w:basedOn w:val="BodyText"/>
    <w:next w:val="BodyText"/>
    <w:qFormat/>
    <w:rsid w:val="00B2654D"/>
    <w:pPr>
      <w:spacing w:before="220"/>
    </w:pPr>
  </w:style>
  <w:style w:type="paragraph" w:styleId="Introduction" w:customStyle="1">
    <w:name w:val="Introduction"/>
    <w:basedOn w:val="Normal"/>
    <w:qFormat/>
    <w:rsid w:val="00C6586E"/>
    <w:pPr>
      <w:spacing w:after="300" w:line="300" w:lineRule="atLeast"/>
    </w:pPr>
    <w:rPr>
      <w:rFonts w:asciiTheme="majorHAnsi" w:hAnsiTheme="majorHAnsi"/>
      <w:b/>
      <w:color w:val="8ACED7" w:themeColor="accent1"/>
      <w:sz w:val="24"/>
      <w:szCs w:val="24"/>
    </w:rPr>
  </w:style>
  <w:style w:type="character" w:styleId="PageNumber">
    <w:name w:val="page number"/>
    <w:basedOn w:val="DefaultParagraphFont"/>
    <w:unhideWhenUsed/>
    <w:rsid w:val="00034A7D"/>
    <w:rPr>
      <w:b/>
      <w:color w:val="003263" w:themeColor="text2"/>
    </w:rPr>
  </w:style>
  <w:style w:type="paragraph" w:styleId="FooterEven" w:customStyle="1">
    <w:name w:val="Footer Even"/>
    <w:basedOn w:val="Footer"/>
    <w:uiPriority w:val="99"/>
    <w:rsid w:val="004629AA"/>
    <w:pPr>
      <w:ind w:left="-340" w:right="0"/>
      <w:jc w:val="left"/>
    </w:pPr>
  </w:style>
  <w:style w:type="paragraph" w:styleId="CaptionDescriptive" w:customStyle="1">
    <w:name w:val="Caption Descriptive"/>
    <w:basedOn w:val="Caption"/>
    <w:qFormat/>
    <w:rsid w:val="00B33137"/>
    <w:pPr>
      <w:spacing w:before="0" w:after="360"/>
      <w:contextualSpacing/>
    </w:pPr>
    <w:rPr>
      <w:b w:val="0"/>
      <w:color w:val="231F20" w:themeColor="text1"/>
      <w:sz w:val="16"/>
    </w:rPr>
  </w:style>
  <w:style w:type="paragraph" w:styleId="IntenseQuote">
    <w:name w:val="Intense Quote"/>
    <w:basedOn w:val="Normal"/>
    <w:next w:val="Normal"/>
    <w:link w:val="IntenseQuoteChar"/>
    <w:uiPriority w:val="30"/>
    <w:qFormat/>
    <w:rsid w:val="00A85A4C"/>
    <w:pPr>
      <w:pBdr>
        <w:top w:val="single" w:color="8ACED7" w:themeColor="accent1" w:sz="4" w:space="10"/>
        <w:bottom w:val="single" w:color="8ACED7" w:themeColor="accent1" w:sz="4" w:space="10"/>
      </w:pBdr>
      <w:spacing w:before="360" w:after="360"/>
      <w:jc w:val="center"/>
    </w:pPr>
    <w:rPr>
      <w:rFonts w:asciiTheme="majorHAnsi" w:hAnsiTheme="majorHAnsi"/>
      <w:b/>
      <w:iCs/>
      <w:color w:val="8ACED7" w:themeColor="accent1"/>
    </w:rPr>
  </w:style>
  <w:style w:type="character" w:styleId="IntenseQuoteChar" w:customStyle="1">
    <w:name w:val="Intense Quote Char"/>
    <w:basedOn w:val="DefaultParagraphFont"/>
    <w:link w:val="IntenseQuote"/>
    <w:uiPriority w:val="30"/>
    <w:rsid w:val="00A85A4C"/>
    <w:rPr>
      <w:rFonts w:asciiTheme="majorHAnsi" w:hAnsiTheme="majorHAnsi"/>
      <w:b/>
      <w:iCs/>
      <w:color w:val="8ACED7" w:themeColor="accent1"/>
      <w:spacing w:val="2"/>
    </w:rPr>
  </w:style>
  <w:style w:type="paragraph" w:styleId="Quote">
    <w:name w:val="Quote"/>
    <w:basedOn w:val="Normal"/>
    <w:next w:val="Normal"/>
    <w:link w:val="QuoteChar"/>
    <w:uiPriority w:val="29"/>
    <w:qFormat/>
    <w:rsid w:val="002A7D53"/>
    <w:pPr>
      <w:spacing w:before="240" w:after="240"/>
      <w:ind w:left="567" w:right="567"/>
      <w:jc w:val="center"/>
    </w:pPr>
    <w:rPr>
      <w:i/>
      <w:iCs/>
      <w:color w:val="003263" w:themeColor="text2"/>
    </w:rPr>
  </w:style>
  <w:style w:type="character" w:styleId="QuoteChar" w:customStyle="1">
    <w:name w:val="Quote Char"/>
    <w:basedOn w:val="DefaultParagraphFont"/>
    <w:link w:val="Quote"/>
    <w:uiPriority w:val="29"/>
    <w:rsid w:val="002A7D53"/>
    <w:rPr>
      <w:i/>
      <w:iCs/>
      <w:color w:val="003263" w:themeColor="text2"/>
      <w:spacing w:val="2"/>
    </w:rPr>
  </w:style>
  <w:style w:type="character" w:styleId="IntenseEmphasis">
    <w:name w:val="Intense Emphasis"/>
    <w:basedOn w:val="DefaultParagraphFont"/>
    <w:uiPriority w:val="21"/>
    <w:qFormat/>
    <w:rsid w:val="00ED0909"/>
    <w:rPr>
      <w:b/>
      <w:i w:val="0"/>
      <w:iCs/>
      <w:color w:val="003263" w:themeColor="text2"/>
    </w:rPr>
  </w:style>
  <w:style w:type="paragraph" w:styleId="Subtitle">
    <w:name w:val="Subtitle"/>
    <w:basedOn w:val="Normal"/>
    <w:next w:val="Normal"/>
    <w:link w:val="SubtitleChar"/>
    <w:rsid w:val="0032135D"/>
    <w:pPr>
      <w:numPr>
        <w:ilvl w:val="1"/>
      </w:numPr>
      <w:spacing w:line="280" w:lineRule="exact"/>
    </w:pPr>
    <w:rPr>
      <w:rFonts w:asciiTheme="majorHAnsi" w:hAnsiTheme="majorHAnsi" w:eastAsiaTheme="minorEastAsia" w:cstheme="minorBidi"/>
      <w:b/>
      <w:caps/>
      <w:color w:val="003263" w:themeColor="text2"/>
      <w:spacing w:val="8"/>
      <w:sz w:val="29"/>
      <w:szCs w:val="22"/>
    </w:rPr>
  </w:style>
  <w:style w:type="character" w:styleId="SubtitleChar" w:customStyle="1">
    <w:name w:val="Subtitle Char"/>
    <w:basedOn w:val="DefaultParagraphFont"/>
    <w:link w:val="Subtitle"/>
    <w:rsid w:val="0032135D"/>
    <w:rPr>
      <w:rFonts w:asciiTheme="majorHAnsi" w:hAnsiTheme="majorHAnsi" w:eastAsiaTheme="minorEastAsia" w:cstheme="minorBidi"/>
      <w:b/>
      <w:caps/>
      <w:color w:val="003263" w:themeColor="text2"/>
      <w:spacing w:val="8"/>
      <w:sz w:val="29"/>
      <w:szCs w:val="22"/>
    </w:rPr>
  </w:style>
  <w:style w:type="paragraph" w:styleId="TitleLeadin" w:customStyle="1">
    <w:name w:val="Title Leadin"/>
    <w:basedOn w:val="Normal"/>
    <w:rsid w:val="0032135D"/>
    <w:pPr>
      <w:spacing w:after="400" w:line="260" w:lineRule="atLeast"/>
      <w:contextualSpacing/>
    </w:pPr>
    <w:rPr>
      <w:b/>
      <w:caps/>
      <w:color w:val="003263" w:themeColor="text2"/>
    </w:rPr>
  </w:style>
  <w:style w:type="paragraph" w:styleId="TOCHeading">
    <w:name w:val="TOC Heading"/>
    <w:basedOn w:val="Heading1"/>
    <w:next w:val="Normal"/>
    <w:uiPriority w:val="39"/>
    <w:unhideWhenUsed/>
    <w:rsid w:val="0016753C"/>
    <w:pPr>
      <w:keepLines/>
      <w:framePr w:wrap="around"/>
      <w:outlineLvl w:val="9"/>
    </w:pPr>
    <w:rPr>
      <w:rFonts w:eastAsiaTheme="majorEastAsia" w:cstheme="majorBidi"/>
      <w:spacing w:val="0"/>
      <w:szCs w:val="32"/>
      <w:lang w:val="en-US" w:eastAsia="en-US"/>
    </w:rPr>
  </w:style>
  <w:style w:type="paragraph" w:styleId="TOC2">
    <w:name w:val="toc 2"/>
    <w:basedOn w:val="Normal"/>
    <w:next w:val="Normal"/>
    <w:autoRedefine/>
    <w:uiPriority w:val="39"/>
    <w:unhideWhenUsed/>
    <w:rsid w:val="00EC42AC"/>
    <w:pPr>
      <w:tabs>
        <w:tab w:val="right" w:leader="dot" w:pos="5007"/>
      </w:tabs>
      <w:spacing w:after="120"/>
      <w:ind w:right="567"/>
    </w:pPr>
    <w:rPr>
      <w:noProof/>
    </w:rPr>
  </w:style>
  <w:style w:type="paragraph" w:styleId="TOC3">
    <w:name w:val="toc 3"/>
    <w:basedOn w:val="Normal"/>
    <w:next w:val="Normal"/>
    <w:autoRedefine/>
    <w:unhideWhenUsed/>
    <w:rsid w:val="00EC42AC"/>
    <w:pPr>
      <w:tabs>
        <w:tab w:val="right" w:leader="dot" w:pos="5007"/>
      </w:tabs>
      <w:spacing w:before="120" w:after="120"/>
      <w:ind w:left="340" w:right="567"/>
    </w:pPr>
    <w:rPr>
      <w:noProof/>
    </w:rPr>
  </w:style>
  <w:style w:type="character" w:styleId="Hyperlink">
    <w:name w:val="Hyperlink"/>
    <w:basedOn w:val="DefaultParagraphFont"/>
    <w:uiPriority w:val="99"/>
    <w:unhideWhenUsed/>
    <w:rsid w:val="004D51B9"/>
    <w:rPr>
      <w:color w:val="231F20" w:themeColor="hyperlink"/>
      <w:u w:val="single"/>
    </w:rPr>
  </w:style>
  <w:style w:type="paragraph" w:styleId="PullQuote" w:customStyle="1">
    <w:name w:val="Pull Quote"/>
    <w:basedOn w:val="Normal"/>
    <w:rsid w:val="00A85A4C"/>
    <w:rPr>
      <w:b/>
      <w:caps/>
      <w:color w:val="8ACED7" w:themeColor="accent1"/>
    </w:rPr>
  </w:style>
  <w:style w:type="paragraph" w:styleId="PullQuoteLong" w:customStyle="1">
    <w:name w:val="Pull Quote Long"/>
    <w:basedOn w:val="IntenseQuote"/>
    <w:rsid w:val="00A85A4C"/>
    <w:pPr>
      <w:pBdr>
        <w:top w:val="single" w:color="8ACED7" w:themeColor="accent1" w:sz="4" w:space="6"/>
        <w:bottom w:val="single" w:color="8ACED7" w:themeColor="accent1" w:sz="4" w:space="6"/>
      </w:pBdr>
      <w:spacing w:before="120" w:after="120"/>
      <w:jc w:val="left"/>
    </w:pPr>
  </w:style>
  <w:style w:type="paragraph" w:styleId="Caption">
    <w:name w:val="caption"/>
    <w:basedOn w:val="Normal"/>
    <w:next w:val="BodyTextAfterListTable"/>
    <w:unhideWhenUsed/>
    <w:qFormat/>
    <w:rsid w:val="006D676F"/>
    <w:pPr>
      <w:keepNext/>
      <w:spacing w:before="240" w:after="200" w:line="240" w:lineRule="auto"/>
    </w:pPr>
    <w:rPr>
      <w:b/>
      <w:iCs/>
      <w:color w:val="003263" w:themeColor="text2"/>
      <w:sz w:val="17"/>
      <w:szCs w:val="18"/>
    </w:rPr>
  </w:style>
  <w:style w:type="paragraph" w:styleId="HeaderSpacer" w:customStyle="1">
    <w:name w:val="Header Spacer"/>
    <w:basedOn w:val="Header"/>
    <w:uiPriority w:val="99"/>
    <w:rsid w:val="004324FC"/>
    <w:pPr>
      <w:spacing w:after="1440"/>
      <w:contextualSpacing/>
    </w:pPr>
  </w:style>
  <w:style w:type="paragraph" w:styleId="TOC1">
    <w:name w:val="toc 1"/>
    <w:basedOn w:val="Normal"/>
    <w:next w:val="Normal"/>
    <w:autoRedefine/>
    <w:uiPriority w:val="39"/>
    <w:unhideWhenUsed/>
    <w:rsid w:val="00EC42AC"/>
    <w:pPr>
      <w:tabs>
        <w:tab w:val="right" w:leader="dot" w:pos="5007"/>
      </w:tabs>
      <w:spacing w:before="240" w:after="200"/>
      <w:ind w:right="567"/>
    </w:pPr>
    <w:rPr>
      <w:b/>
      <w:noProof/>
      <w:color w:val="003263" w:themeColor="text2"/>
    </w:rPr>
  </w:style>
  <w:style w:type="paragraph" w:styleId="NormalWeb">
    <w:name w:val="Normal (Web)"/>
    <w:basedOn w:val="Normal"/>
    <w:uiPriority w:val="99"/>
    <w:unhideWhenUsed/>
    <w:rsid w:val="00872F39"/>
    <w:pPr>
      <w:spacing w:before="100" w:beforeAutospacing="1" w:after="100" w:afterAutospacing="1" w:line="240" w:lineRule="auto"/>
    </w:pPr>
    <w:rPr>
      <w:rFonts w:ascii="Times New Roman" w:hAnsi="Times New Roman" w:eastAsiaTheme="minorEastAsia"/>
      <w:spacing w:val="0"/>
      <w:sz w:val="24"/>
      <w:szCs w:val="24"/>
    </w:rPr>
  </w:style>
  <w:style w:type="paragraph" w:styleId="BackCoverText" w:customStyle="1">
    <w:name w:val="Back Cover Text"/>
    <w:basedOn w:val="Normal"/>
    <w:uiPriority w:val="99"/>
    <w:rsid w:val="00961A30"/>
    <w:pPr>
      <w:spacing w:line="200" w:lineRule="atLeast"/>
    </w:pPr>
    <w:rPr>
      <w:rFonts w:asciiTheme="majorHAnsi" w:hAnsiTheme="majorHAnsi"/>
      <w:noProof/>
      <w:color w:val="003263" w:themeColor="text2"/>
      <w:sz w:val="16"/>
    </w:rPr>
  </w:style>
  <w:style w:type="paragraph" w:styleId="BackCoverTextHeading" w:customStyle="1">
    <w:name w:val="Back Cover Text Heading"/>
    <w:basedOn w:val="BackCoverText"/>
    <w:uiPriority w:val="99"/>
    <w:rsid w:val="00961A30"/>
    <w:pPr>
      <w:spacing w:before="120" w:after="60"/>
    </w:pPr>
    <w:rPr>
      <w:b/>
      <w:caps/>
    </w:rPr>
  </w:style>
  <w:style w:type="paragraph" w:styleId="Sourcetext" w:customStyle="1">
    <w:name w:val="Source text"/>
    <w:basedOn w:val="Normal"/>
    <w:qFormat/>
    <w:rsid w:val="004324FC"/>
    <w:pPr>
      <w:spacing w:after="120"/>
    </w:pPr>
    <w:rPr>
      <w:sz w:val="16"/>
    </w:rPr>
  </w:style>
  <w:style w:type="paragraph" w:styleId="AppendixHeading2" w:customStyle="1">
    <w:name w:val="Appendix Heading 2"/>
    <w:basedOn w:val="AppendixHeading1"/>
    <w:next w:val="BodyText"/>
    <w:uiPriority w:val="1"/>
    <w:rsid w:val="00E55580"/>
    <w:pPr>
      <w:pageBreakBefore w:val="0"/>
      <w:framePr w:w="0" w:hSpace="0" w:wrap="auto" w:hAnchor="text" w:vAnchor="margin" w:xAlign="left" w:yAlign="inline"/>
      <w:numPr>
        <w:numId w:val="0"/>
      </w:numPr>
      <w:pBdr>
        <w:top w:val="none" w:color="auto" w:sz="0" w:space="0"/>
        <w:bottom w:val="none" w:color="auto" w:sz="0" w:space="0"/>
      </w:pBdr>
      <w:spacing w:before="220" w:after="120" w:line="240" w:lineRule="auto"/>
    </w:pPr>
    <w:rPr>
      <w:caps/>
      <w:color w:val="003263" w:themeColor="text2"/>
      <w:sz w:val="24"/>
    </w:rPr>
  </w:style>
  <w:style w:type="paragraph" w:styleId="AppendixHeading3" w:customStyle="1">
    <w:name w:val="Appendix Heading 3"/>
    <w:basedOn w:val="AppendixHeading2"/>
    <w:next w:val="BodyText"/>
    <w:uiPriority w:val="1"/>
    <w:rsid w:val="004C130A"/>
    <w:pPr>
      <w:spacing w:before="240"/>
    </w:pPr>
    <w:rPr>
      <w:caps w:val="0"/>
      <w:spacing w:val="0"/>
      <w:sz w:val="22"/>
    </w:rPr>
  </w:style>
  <w:style w:type="paragraph" w:styleId="ListBullet4">
    <w:name w:val="List Bullet 4"/>
    <w:basedOn w:val="Normal"/>
    <w:semiHidden/>
    <w:unhideWhenUsed/>
    <w:rsid w:val="00E55580"/>
    <w:pPr>
      <w:numPr>
        <w:ilvl w:val="3"/>
        <w:numId w:val="1"/>
      </w:numPr>
      <w:contextualSpacing/>
    </w:pPr>
  </w:style>
  <w:style w:type="paragraph" w:styleId="ListBullet5">
    <w:name w:val="List Bullet 5"/>
    <w:basedOn w:val="Normal"/>
    <w:semiHidden/>
    <w:unhideWhenUsed/>
    <w:rsid w:val="00E55580"/>
    <w:pPr>
      <w:numPr>
        <w:ilvl w:val="4"/>
        <w:numId w:val="1"/>
      </w:numPr>
      <w:contextualSpacing/>
    </w:pPr>
  </w:style>
  <w:style w:type="paragraph" w:styleId="NoteHeading">
    <w:name w:val="Note Heading"/>
    <w:basedOn w:val="Normal"/>
    <w:next w:val="Normal"/>
    <w:link w:val="NoteHeadingChar"/>
    <w:unhideWhenUsed/>
    <w:rsid w:val="00815628"/>
    <w:pPr>
      <w:spacing w:line="240" w:lineRule="auto"/>
    </w:pPr>
    <w:rPr>
      <w:sz w:val="16"/>
    </w:rPr>
  </w:style>
  <w:style w:type="character" w:styleId="NoteHeadingChar" w:customStyle="1">
    <w:name w:val="Note Heading Char"/>
    <w:basedOn w:val="DefaultParagraphFont"/>
    <w:link w:val="NoteHeading"/>
    <w:rsid w:val="00815628"/>
    <w:rPr>
      <w:spacing w:val="2"/>
      <w:sz w:val="16"/>
    </w:rPr>
  </w:style>
  <w:style w:type="paragraph" w:styleId="NoteText" w:customStyle="1">
    <w:name w:val="Note Text"/>
    <w:basedOn w:val="NoteHeading"/>
    <w:qFormat/>
    <w:rsid w:val="00815628"/>
  </w:style>
  <w:style w:type="paragraph" w:styleId="NoteNumbered" w:customStyle="1">
    <w:name w:val="Note Numbered"/>
    <w:basedOn w:val="NoteText"/>
    <w:qFormat/>
    <w:rsid w:val="00815628"/>
    <w:pPr>
      <w:numPr>
        <w:numId w:val="4"/>
      </w:numPr>
    </w:pPr>
  </w:style>
  <w:style w:type="paragraph" w:styleId="TableofFigures">
    <w:name w:val="table of figures"/>
    <w:basedOn w:val="Normal"/>
    <w:next w:val="Normal"/>
    <w:uiPriority w:val="99"/>
    <w:unhideWhenUsed/>
    <w:rsid w:val="00EC42AC"/>
    <w:pPr>
      <w:tabs>
        <w:tab w:val="right" w:leader="dot" w:pos="5007"/>
      </w:tabs>
      <w:spacing w:after="200"/>
    </w:pPr>
    <w:rPr>
      <w:rFonts w:cs="Arial"/>
      <w:noProof/>
    </w:rPr>
  </w:style>
  <w:style w:type="paragraph" w:styleId="TOFHeading" w:customStyle="1">
    <w:name w:val="TOF Heading"/>
    <w:basedOn w:val="Normal"/>
    <w:next w:val="BodyText"/>
    <w:rsid w:val="00EC42AC"/>
    <w:pPr>
      <w:spacing w:before="120" w:after="200"/>
    </w:pPr>
    <w:rPr>
      <w:rFonts w:cs="Arial"/>
      <w:b/>
      <w:color w:val="003263" w:themeColor="text2"/>
    </w:rPr>
  </w:style>
  <w:style w:type="paragraph" w:styleId="TableText" w:customStyle="1">
    <w:name w:val="Table Text"/>
    <w:basedOn w:val="Normal"/>
    <w:qFormat/>
    <w:rsid w:val="006D676F"/>
    <w:pPr>
      <w:spacing w:before="40" w:after="70"/>
    </w:pPr>
    <w:rPr>
      <w:sz w:val="18"/>
    </w:rPr>
  </w:style>
  <w:style w:type="paragraph" w:styleId="TableTextBullet1" w:customStyle="1">
    <w:name w:val="Table Text Bullet 1"/>
    <w:basedOn w:val="TableText"/>
    <w:qFormat/>
    <w:rsid w:val="00E071B7"/>
    <w:pPr>
      <w:numPr>
        <w:numId w:val="5"/>
      </w:numPr>
    </w:pPr>
  </w:style>
  <w:style w:type="paragraph" w:styleId="TableTextBullet2" w:customStyle="1">
    <w:name w:val="Table Text Bullet 2"/>
    <w:basedOn w:val="TableTextBullet1"/>
    <w:qFormat/>
    <w:rsid w:val="00E071B7"/>
    <w:pPr>
      <w:numPr>
        <w:ilvl w:val="1"/>
      </w:numPr>
    </w:pPr>
  </w:style>
  <w:style w:type="paragraph" w:styleId="TableTextBullet3" w:customStyle="1">
    <w:name w:val="Table Text Bullet 3"/>
    <w:basedOn w:val="TableTextBullet2"/>
    <w:qFormat/>
    <w:rsid w:val="00E071B7"/>
    <w:pPr>
      <w:numPr>
        <w:ilvl w:val="2"/>
      </w:numPr>
    </w:pPr>
  </w:style>
  <w:style w:type="paragraph" w:styleId="TableTextNumbered1" w:customStyle="1">
    <w:name w:val="Table Text Numbered 1"/>
    <w:basedOn w:val="TableText"/>
    <w:qFormat/>
    <w:rsid w:val="00E071B7"/>
    <w:pPr>
      <w:numPr>
        <w:numId w:val="6"/>
      </w:numPr>
    </w:pPr>
  </w:style>
  <w:style w:type="paragraph" w:styleId="TableTextNumbered2" w:customStyle="1">
    <w:name w:val="Table Text Numbered 2"/>
    <w:basedOn w:val="TableTextNumbered1"/>
    <w:qFormat/>
    <w:rsid w:val="00E071B7"/>
    <w:pPr>
      <w:numPr>
        <w:ilvl w:val="1"/>
      </w:numPr>
    </w:pPr>
  </w:style>
  <w:style w:type="paragraph" w:styleId="TableTextNumbered3" w:customStyle="1">
    <w:name w:val="Table Text Numbered 3"/>
    <w:basedOn w:val="TableTextNumbered2"/>
    <w:qFormat/>
    <w:rsid w:val="00E071B7"/>
    <w:pPr>
      <w:numPr>
        <w:ilvl w:val="2"/>
      </w:numPr>
    </w:pPr>
  </w:style>
  <w:style w:type="paragraph" w:styleId="FootnoteText">
    <w:name w:val="footnote text"/>
    <w:basedOn w:val="Normal"/>
    <w:link w:val="FootnoteTextChar"/>
    <w:unhideWhenUsed/>
    <w:rsid w:val="00F538E1"/>
    <w:pPr>
      <w:tabs>
        <w:tab w:val="left" w:pos="340"/>
      </w:tabs>
      <w:spacing w:before="60" w:line="240" w:lineRule="auto"/>
      <w:ind w:left="340" w:hanging="340"/>
    </w:pPr>
    <w:rPr>
      <w:sz w:val="16"/>
      <w:szCs w:val="20"/>
    </w:rPr>
  </w:style>
  <w:style w:type="character" w:styleId="FootnoteTextChar" w:customStyle="1">
    <w:name w:val="Footnote Text Char"/>
    <w:basedOn w:val="DefaultParagraphFont"/>
    <w:link w:val="FootnoteText"/>
    <w:rsid w:val="00F538E1"/>
    <w:rPr>
      <w:spacing w:val="2"/>
      <w:sz w:val="16"/>
      <w:szCs w:val="20"/>
    </w:rPr>
  </w:style>
  <w:style w:type="character" w:styleId="FootnoteReference">
    <w:name w:val="footnote reference"/>
    <w:basedOn w:val="DefaultParagraphFont"/>
    <w:semiHidden/>
    <w:unhideWhenUsed/>
    <w:rsid w:val="00F538E1"/>
    <w:rPr>
      <w:vertAlign w:val="superscript"/>
    </w:rPr>
  </w:style>
  <w:style w:type="character" w:styleId="Bold" w:customStyle="1">
    <w:name w:val="Bold"/>
    <w:rsid w:val="003525BB"/>
    <w:rPr>
      <w:rFonts w:eastAsiaTheme="minorEastAsia"/>
      <w:b/>
      <w:i w:val="0"/>
      <w:strike w:val="0"/>
      <w:vertAlign w:val="baseline"/>
    </w:rPr>
  </w:style>
  <w:style w:type="character" w:styleId="BoldAndItalics" w:customStyle="1">
    <w:name w:val="Bold And Italics"/>
    <w:rsid w:val="003525BB"/>
    <w:rPr>
      <w:rFonts w:eastAsiaTheme="minorEastAsia"/>
      <w:b/>
      <w:i/>
      <w:strike w:val="0"/>
      <w:vertAlign w:val="baseline"/>
    </w:rPr>
  </w:style>
  <w:style w:type="character" w:styleId="Italics" w:customStyle="1">
    <w:name w:val="Italics"/>
    <w:rsid w:val="003525BB"/>
    <w:rPr>
      <w:i/>
      <w:lang w:eastAsia="en-US"/>
    </w:rPr>
  </w:style>
  <w:style w:type="character" w:styleId="MyBoldItalicsUnderline" w:customStyle="1">
    <w:name w:val="MyBoldItalicsUnderline"/>
    <w:uiPriority w:val="99"/>
    <w:semiHidden/>
    <w:rsid w:val="003525BB"/>
    <w:rPr>
      <w:rFonts w:eastAsiaTheme="minorEastAsia"/>
      <w:b/>
      <w:i/>
      <w:strike w:val="0"/>
      <w:u w:val="single"/>
      <w:vertAlign w:val="baseline"/>
    </w:rPr>
  </w:style>
  <w:style w:type="character" w:styleId="MyBoldUnderline" w:customStyle="1">
    <w:name w:val="MyBoldUnderline"/>
    <w:uiPriority w:val="99"/>
    <w:semiHidden/>
    <w:rsid w:val="003525BB"/>
    <w:rPr>
      <w:rFonts w:eastAsiaTheme="minorEastAsia"/>
      <w:b/>
      <w:i/>
      <w:strike w:val="0"/>
      <w:u w:val="single"/>
      <w:vertAlign w:val="baseline"/>
    </w:rPr>
  </w:style>
  <w:style w:type="character" w:styleId="MyItalicsUnderline" w:customStyle="1">
    <w:name w:val="MyItalicsUnderline"/>
    <w:uiPriority w:val="99"/>
    <w:semiHidden/>
    <w:rsid w:val="003525BB"/>
    <w:rPr>
      <w:rFonts w:eastAsiaTheme="minorEastAsia"/>
      <w:b/>
      <w:i/>
      <w:strike w:val="0"/>
      <w:u w:val="single"/>
      <w:vertAlign w:val="baseline"/>
    </w:rPr>
  </w:style>
  <w:style w:type="character" w:styleId="MyStrikethrough" w:customStyle="1">
    <w:name w:val="MyStrikethrough"/>
    <w:uiPriority w:val="99"/>
    <w:semiHidden/>
    <w:rsid w:val="003525BB"/>
    <w:rPr>
      <w:rFonts w:eastAsiaTheme="minorEastAsia"/>
      <w:b w:val="0"/>
      <w:i w:val="0"/>
      <w:strike/>
      <w:dstrike w:val="0"/>
      <w:vertAlign w:val="baseline"/>
    </w:rPr>
  </w:style>
  <w:style w:type="character" w:styleId="MySubscript" w:customStyle="1">
    <w:name w:val="MySubscript"/>
    <w:uiPriority w:val="99"/>
    <w:semiHidden/>
    <w:rsid w:val="003525BB"/>
    <w:rPr>
      <w:rFonts w:eastAsiaTheme="minorEastAsia"/>
      <w:b w:val="0"/>
      <w:i w:val="0"/>
      <w:strike w:val="0"/>
      <w:vertAlign w:val="subscript"/>
    </w:rPr>
  </w:style>
  <w:style w:type="character" w:styleId="MySubscriptItalics" w:customStyle="1">
    <w:name w:val="MySubscript&amp;Italics"/>
    <w:uiPriority w:val="99"/>
    <w:semiHidden/>
    <w:rsid w:val="003525BB"/>
    <w:rPr>
      <w:rFonts w:eastAsiaTheme="minorEastAsia"/>
      <w:b w:val="0"/>
      <w:i/>
      <w:strike w:val="0"/>
      <w:vertAlign w:val="subscript"/>
    </w:rPr>
  </w:style>
  <w:style w:type="character" w:styleId="MySuperscript" w:customStyle="1">
    <w:name w:val="MySuperscript"/>
    <w:uiPriority w:val="99"/>
    <w:semiHidden/>
    <w:rsid w:val="003525BB"/>
    <w:rPr>
      <w:rFonts w:eastAsiaTheme="minorEastAsia"/>
      <w:b w:val="0"/>
      <w:i w:val="0"/>
      <w:strike w:val="0"/>
      <w:vertAlign w:val="superscript"/>
    </w:rPr>
  </w:style>
  <w:style w:type="character" w:styleId="MySuperscriptItalics" w:customStyle="1">
    <w:name w:val="MySuperscript&amp;Italics"/>
    <w:uiPriority w:val="99"/>
    <w:semiHidden/>
    <w:rsid w:val="003525BB"/>
    <w:rPr>
      <w:rFonts w:eastAsiaTheme="minorEastAsia"/>
      <w:b w:val="0"/>
      <w:i/>
      <w:strike w:val="0"/>
      <w:vertAlign w:val="superscript"/>
    </w:rPr>
  </w:style>
  <w:style w:type="character" w:styleId="MyUnderline" w:customStyle="1">
    <w:name w:val="MyUnderline"/>
    <w:uiPriority w:val="99"/>
    <w:semiHidden/>
    <w:rsid w:val="003525BB"/>
    <w:rPr>
      <w:rFonts w:eastAsiaTheme="minorEastAsia"/>
      <w:b w:val="0"/>
      <w:i w:val="0"/>
      <w:strike w:val="0"/>
      <w:u w:val="single"/>
      <w:vertAlign w:val="baseline"/>
    </w:rPr>
  </w:style>
  <w:style w:type="character" w:styleId="MyUnderlineStrikethrough" w:customStyle="1">
    <w:name w:val="MyUnderline&amp;Strikethrough"/>
    <w:uiPriority w:val="99"/>
    <w:semiHidden/>
    <w:rsid w:val="003525BB"/>
    <w:rPr>
      <w:rFonts w:eastAsiaTheme="minorEastAsia"/>
      <w:b w:val="0"/>
      <w:i w:val="0"/>
      <w:strike/>
      <w:dstrike w:val="0"/>
      <w:u w:val="single"/>
      <w:vertAlign w:val="baseline"/>
    </w:rPr>
  </w:style>
  <w:style w:type="paragraph" w:styleId="ExecSummHeading2" w:customStyle="1">
    <w:name w:val="Exec Summ Heading 2"/>
    <w:basedOn w:val="BodyText"/>
    <w:next w:val="BodyText"/>
    <w:qFormat/>
    <w:rsid w:val="00AC3F19"/>
    <w:pPr>
      <w:keepNext/>
      <w:spacing w:before="220" w:line="240" w:lineRule="auto"/>
    </w:pPr>
    <w:rPr>
      <w:rFonts w:ascii="Calibri" w:hAnsi="Calibri"/>
      <w:b/>
      <w:caps/>
      <w:color w:val="003263" w:themeColor="text2"/>
      <w:spacing w:val="0"/>
      <w:sz w:val="24"/>
      <w:szCs w:val="21"/>
    </w:rPr>
  </w:style>
  <w:style w:type="paragraph" w:styleId="ExecSummHeading3" w:customStyle="1">
    <w:name w:val="Exec Summ Heading 3"/>
    <w:basedOn w:val="BodyText"/>
    <w:next w:val="BodyText"/>
    <w:qFormat/>
    <w:rsid w:val="00AC3F19"/>
    <w:pPr>
      <w:keepNext/>
      <w:spacing w:before="240" w:line="240" w:lineRule="auto"/>
    </w:pPr>
    <w:rPr>
      <w:rFonts w:asciiTheme="majorHAnsi" w:hAnsiTheme="majorHAnsi"/>
      <w:b/>
      <w:color w:val="003263" w:themeColor="text2"/>
      <w:spacing w:val="0"/>
      <w:sz w:val="22"/>
      <w:szCs w:val="21"/>
    </w:rPr>
  </w:style>
  <w:style w:type="character" w:styleId="Heading1Char" w:customStyle="1">
    <w:name w:val="Heading 1 Char"/>
    <w:basedOn w:val="DefaultParagraphFont"/>
    <w:link w:val="Heading1"/>
    <w:rsid w:val="00DE1829"/>
    <w:rPr>
      <w:rFonts w:asciiTheme="majorHAnsi" w:hAnsiTheme="majorHAnsi"/>
      <w:b/>
      <w:color w:val="8ACED7" w:themeColor="accent1"/>
      <w:spacing w:val="6"/>
      <w:sz w:val="56"/>
    </w:rPr>
  </w:style>
  <w:style w:type="character" w:styleId="Heading2Char" w:customStyle="1">
    <w:name w:val="Heading 2 Char"/>
    <w:basedOn w:val="DefaultParagraphFont"/>
    <w:link w:val="Heading2"/>
    <w:rsid w:val="00DE1829"/>
    <w:rPr>
      <w:rFonts w:asciiTheme="majorHAnsi" w:hAnsiTheme="majorHAnsi"/>
      <w:b/>
      <w:caps/>
      <w:color w:val="003263" w:themeColor="text2"/>
      <w:spacing w:val="6"/>
      <w:sz w:val="24"/>
    </w:rPr>
  </w:style>
  <w:style w:type="paragraph" w:styleId="ListParagraph">
    <w:name w:val="List Paragraph"/>
    <w:basedOn w:val="Normal"/>
    <w:uiPriority w:val="34"/>
    <w:qFormat/>
    <w:rsid w:val="00DE1829"/>
    <w:pPr>
      <w:spacing w:line="240" w:lineRule="atLeast"/>
      <w:ind w:left="720"/>
      <w:contextualSpacing/>
    </w:pPr>
    <w:rPr>
      <w:rFonts w:ascii="Calibri" w:hAnsi="Calibri"/>
      <w:spacing w:val="0"/>
      <w:sz w:val="18"/>
      <w:szCs w:val="18"/>
    </w:rPr>
  </w:style>
  <w:style w:type="character" w:styleId="Heading3Char" w:customStyle="1">
    <w:name w:val="Heading 3 Char"/>
    <w:basedOn w:val="DefaultParagraphFont"/>
    <w:link w:val="Heading3"/>
    <w:rsid w:val="00F9317F"/>
    <w:rPr>
      <w:rFonts w:asciiTheme="majorHAnsi" w:hAnsiTheme="majorHAnsi"/>
      <w:b/>
      <w:color w:val="003263" w:themeColor="text2"/>
      <w:sz w:val="22"/>
    </w:rPr>
  </w:style>
  <w:style w:type="character" w:styleId="Heading4Char" w:customStyle="1">
    <w:name w:val="Heading 4 Char"/>
    <w:basedOn w:val="DefaultParagraphFont"/>
    <w:link w:val="Heading4"/>
    <w:rsid w:val="00F9317F"/>
    <w:rPr>
      <w:bCs/>
      <w:color w:val="003263" w:themeColor="text2"/>
      <w:spacing w:val="2"/>
      <w:sz w:val="20"/>
      <w:szCs w:val="28"/>
    </w:rPr>
  </w:style>
  <w:style w:type="character" w:styleId="Heading5Char" w:customStyle="1">
    <w:name w:val="Heading 5 Char"/>
    <w:basedOn w:val="DefaultParagraphFont"/>
    <w:link w:val="Heading5"/>
    <w:rsid w:val="00F9317F"/>
    <w:rPr>
      <w:b/>
      <w:bCs/>
      <w:iCs/>
      <w:color w:val="231F20" w:themeColor="text1"/>
      <w:spacing w:val="2"/>
      <w:szCs w:val="26"/>
    </w:rPr>
  </w:style>
  <w:style w:type="character" w:styleId="Heading6Char" w:customStyle="1">
    <w:name w:val="Heading 6 Char"/>
    <w:basedOn w:val="DefaultParagraphFont"/>
    <w:link w:val="Heading6"/>
    <w:rsid w:val="00F9317F"/>
    <w:rPr>
      <w:b/>
      <w:bCs/>
      <w:i/>
      <w:color w:val="231F20" w:themeColor="text1"/>
      <w:spacing w:val="2"/>
    </w:rPr>
  </w:style>
  <w:style w:type="character" w:styleId="Heading7Char" w:customStyle="1">
    <w:name w:val="Heading 7 Char"/>
    <w:basedOn w:val="DefaultParagraphFont"/>
    <w:link w:val="Heading7"/>
    <w:semiHidden/>
    <w:rsid w:val="00F9317F"/>
    <w:rPr>
      <w:spacing w:val="2"/>
      <w:sz w:val="24"/>
      <w:szCs w:val="24"/>
    </w:rPr>
  </w:style>
  <w:style w:type="character" w:styleId="Heading8Char" w:customStyle="1">
    <w:name w:val="Heading 8 Char"/>
    <w:basedOn w:val="DefaultParagraphFont"/>
    <w:link w:val="Heading8"/>
    <w:semiHidden/>
    <w:rsid w:val="00F9317F"/>
    <w:rPr>
      <w:i/>
      <w:iCs/>
      <w:spacing w:val="2"/>
      <w:sz w:val="24"/>
      <w:szCs w:val="24"/>
    </w:rPr>
  </w:style>
  <w:style w:type="character" w:styleId="Heading9Char" w:customStyle="1">
    <w:name w:val="Heading 9 Char"/>
    <w:basedOn w:val="DefaultParagraphFont"/>
    <w:link w:val="Heading9"/>
    <w:semiHidden/>
    <w:rsid w:val="00F9317F"/>
    <w:rPr>
      <w:rFonts w:cs="Arial"/>
      <w:spacing w:val="2"/>
    </w:rPr>
  </w:style>
  <w:style w:type="character" w:styleId="BalloonTextChar" w:customStyle="1">
    <w:name w:val="Balloon Text Char"/>
    <w:basedOn w:val="DefaultParagraphFont"/>
    <w:link w:val="BalloonText"/>
    <w:semiHidden/>
    <w:rsid w:val="00F9317F"/>
    <w:rPr>
      <w:rFonts w:ascii="Tahoma" w:hAnsi="Tahoma" w:cs="Tahoma"/>
      <w:spacing w:val="2"/>
      <w:sz w:val="16"/>
      <w:szCs w:val="16"/>
    </w:rPr>
  </w:style>
  <w:style w:type="paragraph" w:styleId="ListNumber4">
    <w:name w:val="List Number 4"/>
    <w:basedOn w:val="Normal"/>
    <w:semiHidden/>
    <w:unhideWhenUsed/>
    <w:rsid w:val="00F9317F"/>
    <w:pPr>
      <w:tabs>
        <w:tab w:val="num" w:pos="1209"/>
      </w:tabs>
      <w:ind w:left="1209" w:hanging="360"/>
      <w:contextualSpacing/>
    </w:pPr>
  </w:style>
  <w:style w:type="paragraph" w:styleId="ListNumber5">
    <w:name w:val="List Number 5"/>
    <w:basedOn w:val="Normal"/>
    <w:semiHidden/>
    <w:unhideWhenUsed/>
    <w:rsid w:val="00F9317F"/>
    <w:pPr>
      <w:tabs>
        <w:tab w:val="num" w:pos="1492"/>
      </w:tabs>
      <w:ind w:left="1492" w:hanging="360"/>
      <w:contextualSpacing/>
    </w:pPr>
  </w:style>
  <w:style w:type="paragraph" w:styleId="TOC4">
    <w:name w:val="toc 4"/>
    <w:basedOn w:val="Normal"/>
    <w:next w:val="Normal"/>
    <w:autoRedefine/>
    <w:semiHidden/>
    <w:unhideWhenUsed/>
    <w:rsid w:val="00F9317F"/>
    <w:pPr>
      <w:spacing w:after="100"/>
      <w:ind w:left="570"/>
    </w:pPr>
  </w:style>
  <w:style w:type="paragraph" w:styleId="TOC5">
    <w:name w:val="toc 5"/>
    <w:basedOn w:val="Normal"/>
    <w:next w:val="Normal"/>
    <w:autoRedefine/>
    <w:semiHidden/>
    <w:unhideWhenUsed/>
    <w:rsid w:val="00F9317F"/>
    <w:pPr>
      <w:spacing w:after="100"/>
      <w:ind w:left="760"/>
    </w:pPr>
  </w:style>
  <w:style w:type="paragraph" w:styleId="CommentText">
    <w:name w:val="annotation text"/>
    <w:basedOn w:val="Normal"/>
    <w:link w:val="CommentTextChar"/>
    <w:uiPriority w:val="39"/>
    <w:unhideWhenUsed/>
    <w:rsid w:val="00F9317F"/>
    <w:pPr>
      <w:spacing w:line="240" w:lineRule="auto"/>
    </w:pPr>
    <w:rPr>
      <w:sz w:val="20"/>
      <w:szCs w:val="20"/>
    </w:rPr>
  </w:style>
  <w:style w:type="character" w:styleId="CommentTextChar" w:customStyle="1">
    <w:name w:val="Comment Text Char"/>
    <w:basedOn w:val="DefaultParagraphFont"/>
    <w:link w:val="CommentText"/>
    <w:uiPriority w:val="39"/>
    <w:rsid w:val="00F9317F"/>
    <w:rPr>
      <w:spacing w:val="2"/>
      <w:sz w:val="20"/>
      <w:szCs w:val="20"/>
    </w:rPr>
  </w:style>
  <w:style w:type="paragraph" w:styleId="CommentSubject">
    <w:name w:val="annotation subject"/>
    <w:basedOn w:val="CommentText"/>
    <w:next w:val="CommentText"/>
    <w:link w:val="CommentSubjectChar"/>
    <w:uiPriority w:val="39"/>
    <w:semiHidden/>
    <w:unhideWhenUsed/>
    <w:rsid w:val="00F9317F"/>
    <w:rPr>
      <w:b/>
      <w:bCs/>
    </w:rPr>
  </w:style>
  <w:style w:type="character" w:styleId="CommentSubjectChar" w:customStyle="1">
    <w:name w:val="Comment Subject Char"/>
    <w:basedOn w:val="CommentTextChar"/>
    <w:link w:val="CommentSubject"/>
    <w:uiPriority w:val="39"/>
    <w:semiHidden/>
    <w:rsid w:val="00F9317F"/>
    <w:rPr>
      <w:b/>
      <w:bCs/>
      <w:spacing w:val="2"/>
      <w:sz w:val="20"/>
      <w:szCs w:val="20"/>
    </w:rPr>
  </w:style>
  <w:style w:type="character" w:styleId="CommentReference">
    <w:name w:val="annotation reference"/>
    <w:basedOn w:val="DefaultParagraphFont"/>
    <w:uiPriority w:val="39"/>
    <w:semiHidden/>
    <w:unhideWhenUsed/>
    <w:rsid w:val="00F9317F"/>
    <w:rPr>
      <w:sz w:val="16"/>
      <w:szCs w:val="16"/>
    </w:rPr>
  </w:style>
  <w:style w:type="paragraph" w:styleId="DocumentMap">
    <w:name w:val="Document Map"/>
    <w:basedOn w:val="Normal"/>
    <w:link w:val="DocumentMapChar"/>
    <w:uiPriority w:val="39"/>
    <w:semiHidden/>
    <w:unhideWhenUsed/>
    <w:rsid w:val="00F9317F"/>
    <w:pPr>
      <w:spacing w:line="240" w:lineRule="auto"/>
    </w:pPr>
    <w:rPr>
      <w:rFonts w:ascii="Segoe UI" w:hAnsi="Segoe UI" w:cs="Segoe UI"/>
      <w:sz w:val="16"/>
      <w:szCs w:val="16"/>
    </w:rPr>
  </w:style>
  <w:style w:type="character" w:styleId="DocumentMapChar" w:customStyle="1">
    <w:name w:val="Document Map Char"/>
    <w:basedOn w:val="DefaultParagraphFont"/>
    <w:link w:val="DocumentMap"/>
    <w:uiPriority w:val="39"/>
    <w:semiHidden/>
    <w:rsid w:val="00F9317F"/>
    <w:rPr>
      <w:rFonts w:ascii="Segoe UI" w:hAnsi="Segoe UI" w:cs="Segoe UI"/>
      <w:spacing w:val="2"/>
      <w:sz w:val="16"/>
      <w:szCs w:val="16"/>
    </w:rPr>
  </w:style>
  <w:style w:type="paragraph" w:styleId="Index1">
    <w:name w:val="index 1"/>
    <w:basedOn w:val="Normal"/>
    <w:next w:val="Normal"/>
    <w:autoRedefine/>
    <w:semiHidden/>
    <w:unhideWhenUsed/>
    <w:rsid w:val="00F9317F"/>
    <w:pPr>
      <w:spacing w:line="240" w:lineRule="auto"/>
      <w:ind w:left="190" w:hanging="190"/>
    </w:pPr>
  </w:style>
  <w:style w:type="table" w:styleId="Table3Deffects1">
    <w:name w:val="Table 3D effects 1"/>
    <w:basedOn w:val="TableNormal"/>
    <w:semiHidden/>
    <w:unhideWhenUsed/>
    <w:rsid w:val="00F9317F"/>
    <w:pPr>
      <w:spacing w:line="270" w:lineRule="atLeast"/>
    </w:p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semiHidden/>
    <w:unhideWhenUsed/>
    <w:rsid w:val="00F9317F"/>
    <w:pPr>
      <w:spacing w:line="270" w:lineRule="atLeast"/>
    </w:p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semiHidden/>
    <w:unhideWhenUsed/>
    <w:rsid w:val="00F9317F"/>
    <w:pPr>
      <w:spacing w:line="270" w:lineRule="atLeast"/>
    </w:p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semiHidden/>
    <w:unhideWhenUsed/>
    <w:rsid w:val="00F9317F"/>
    <w:pPr>
      <w:spacing w:line="270" w:lineRule="atLeast"/>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semiHidden/>
    <w:unhideWhenUsed/>
    <w:rsid w:val="00F9317F"/>
    <w:pPr>
      <w:spacing w:line="270" w:lineRule="atLeast"/>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semiHidden/>
    <w:unhideWhenUsed/>
    <w:rsid w:val="00F9317F"/>
    <w:pPr>
      <w:spacing w:line="270" w:lineRule="atLeast"/>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semiHidden/>
    <w:unhideWhenUsed/>
    <w:rsid w:val="00F9317F"/>
    <w:pPr>
      <w:spacing w:line="270" w:lineRule="atLeast"/>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semiHidden/>
    <w:unhideWhenUsed/>
    <w:rsid w:val="00F9317F"/>
    <w:pPr>
      <w:spacing w:line="270" w:lineRule="atLeast"/>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semiHidden/>
    <w:unhideWhenUsed/>
    <w:rsid w:val="00F9317F"/>
    <w:pPr>
      <w:spacing w:line="270" w:lineRule="atLeast"/>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semiHidden/>
    <w:unhideWhenUsed/>
    <w:rsid w:val="00F9317F"/>
    <w:pPr>
      <w:spacing w:line="270" w:lineRule="atLeast"/>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semiHidden/>
    <w:unhideWhenUsed/>
    <w:rsid w:val="00F9317F"/>
    <w:pPr>
      <w:spacing w:line="270" w:lineRule="atLeast"/>
    </w:pPr>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semiHidden/>
    <w:unhideWhenUsed/>
    <w:rsid w:val="00F9317F"/>
    <w:pPr>
      <w:spacing w:line="270" w:lineRule="atLeast"/>
    </w:pPr>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semiHidden/>
    <w:unhideWhenUsed/>
    <w:rsid w:val="00F9317F"/>
    <w:pPr>
      <w:spacing w:line="270" w:lineRule="atLeast"/>
    </w:pPr>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semiHidden/>
    <w:unhideWhenUsed/>
    <w:rsid w:val="00F9317F"/>
    <w:pPr>
      <w:spacing w:line="270" w:lineRule="atLeast"/>
    </w:p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F9317F"/>
    <w:pPr>
      <w:spacing w:line="270" w:lineRule="atLeast"/>
    </w:p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F9317F"/>
    <w:pPr>
      <w:spacing w:line="270" w:lineRule="atLeast"/>
    </w:p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semiHidden/>
    <w:unhideWhenUsed/>
    <w:rsid w:val="00F9317F"/>
    <w:pPr>
      <w:spacing w:line="270" w:lineRule="atLeast"/>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
    <w:name w:val="Table Grid 1"/>
    <w:basedOn w:val="TableNormal"/>
    <w:semiHidden/>
    <w:unhideWhenUsed/>
    <w:rsid w:val="00F9317F"/>
    <w:pPr>
      <w:spacing w:line="270" w:lineRule="atLeas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semiHidden/>
    <w:unhideWhenUsed/>
    <w:rsid w:val="00F9317F"/>
    <w:pPr>
      <w:spacing w:line="270" w:lineRule="atLeast"/>
    </w:p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semiHidden/>
    <w:unhideWhenUsed/>
    <w:rsid w:val="00F9317F"/>
    <w:pPr>
      <w:spacing w:line="270" w:lineRule="atLeast"/>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semiHidden/>
    <w:unhideWhenUsed/>
    <w:rsid w:val="00F9317F"/>
    <w:pPr>
      <w:spacing w:line="270" w:lineRule="atLeast"/>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semiHidden/>
    <w:unhideWhenUsed/>
    <w:rsid w:val="00F9317F"/>
    <w:pPr>
      <w:spacing w:line="270" w:lineRule="atLeast"/>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semiHidden/>
    <w:unhideWhenUsed/>
    <w:rsid w:val="00F9317F"/>
    <w:pPr>
      <w:spacing w:line="270" w:lineRule="atLeast"/>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semiHidden/>
    <w:unhideWhenUsed/>
    <w:rsid w:val="00F9317F"/>
    <w:pPr>
      <w:spacing w:line="270" w:lineRule="atLeast"/>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semiHidden/>
    <w:unhideWhenUsed/>
    <w:rsid w:val="00F9317F"/>
    <w:pPr>
      <w:spacing w:line="270" w:lineRule="atLeast"/>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List1">
    <w:name w:val="Table List 1"/>
    <w:basedOn w:val="TableNormal"/>
    <w:semiHidden/>
    <w:unhideWhenUsed/>
    <w:rsid w:val="00F9317F"/>
    <w:pPr>
      <w:spacing w:line="270" w:lineRule="atLeast"/>
    </w:p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semiHidden/>
    <w:unhideWhenUsed/>
    <w:rsid w:val="00F9317F"/>
    <w:pPr>
      <w:spacing w:line="270" w:lineRule="atLeast"/>
    </w:pPr>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semiHidden/>
    <w:unhideWhenUsed/>
    <w:rsid w:val="00F9317F"/>
    <w:pPr>
      <w:spacing w:line="270" w:lineRule="atLeast"/>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semiHidden/>
    <w:unhideWhenUsed/>
    <w:rsid w:val="00F9317F"/>
    <w:pPr>
      <w:spacing w:line="270" w:lineRule="atLeast"/>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semiHidden/>
    <w:unhideWhenUsed/>
    <w:rsid w:val="00F9317F"/>
    <w:pPr>
      <w:spacing w:line="270" w:lineRule="atLeast"/>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semiHidden/>
    <w:unhideWhenUsed/>
    <w:rsid w:val="00F9317F"/>
    <w:pPr>
      <w:spacing w:line="270" w:lineRule="atLeast"/>
    </w:p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semiHidden/>
    <w:unhideWhenUsed/>
    <w:rsid w:val="00F9317F"/>
    <w:pPr>
      <w:spacing w:line="270" w:lineRule="atLeast"/>
    </w:p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semiHidden/>
    <w:unhideWhenUsed/>
    <w:rsid w:val="00F9317F"/>
    <w:pPr>
      <w:spacing w:line="270" w:lineRule="atLeast"/>
    </w:p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paragraph" w:styleId="TableofAuthorities">
    <w:name w:val="table of authorities"/>
    <w:basedOn w:val="Normal"/>
    <w:next w:val="Normal"/>
    <w:semiHidden/>
    <w:unhideWhenUsed/>
    <w:rsid w:val="00F9317F"/>
    <w:pPr>
      <w:ind w:left="190" w:hanging="190"/>
    </w:pPr>
  </w:style>
  <w:style w:type="table" w:styleId="TableProfessional">
    <w:name w:val="Table Professional"/>
    <w:basedOn w:val="TableNormal"/>
    <w:semiHidden/>
    <w:unhideWhenUsed/>
    <w:rsid w:val="00F9317F"/>
    <w:pPr>
      <w:spacing w:line="270" w:lineRule="atLeas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semiHidden/>
    <w:unhideWhenUsed/>
    <w:rsid w:val="00F9317F"/>
    <w:pPr>
      <w:spacing w:line="270" w:lineRule="atLeast"/>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semiHidden/>
    <w:unhideWhenUsed/>
    <w:rsid w:val="00F9317F"/>
    <w:pPr>
      <w:spacing w:line="270" w:lineRule="atLeast"/>
    </w:pP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semiHidden/>
    <w:unhideWhenUsed/>
    <w:rsid w:val="00F9317F"/>
    <w:pPr>
      <w:spacing w:line="270" w:lineRule="atLeast"/>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semiHidden/>
    <w:unhideWhenUsed/>
    <w:rsid w:val="00F9317F"/>
    <w:pPr>
      <w:spacing w:line="270" w:lineRule="atLeast"/>
    </w:pPr>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semiHidden/>
    <w:unhideWhenUsed/>
    <w:rsid w:val="00F9317F"/>
    <w:pPr>
      <w:spacing w:line="270" w:lineRule="atLeast"/>
    </w:p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semiHidden/>
    <w:unhideWhenUsed/>
    <w:rsid w:val="00F9317F"/>
    <w:pPr>
      <w:spacing w:line="270"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semiHidden/>
    <w:unhideWhenUsed/>
    <w:rsid w:val="00F9317F"/>
    <w:pPr>
      <w:spacing w:line="270" w:lineRule="atLeast"/>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semiHidden/>
    <w:unhideWhenUsed/>
    <w:rsid w:val="00F9317F"/>
    <w:pPr>
      <w:spacing w:line="270" w:lineRule="atLeast"/>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semiHidden/>
    <w:unhideWhenUsed/>
    <w:rsid w:val="00F9317F"/>
    <w:pPr>
      <w:spacing w:line="270" w:lineRule="atLeast"/>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PlainText">
    <w:name w:val="Plain Text"/>
    <w:basedOn w:val="Normal"/>
    <w:link w:val="PlainTextChar"/>
    <w:uiPriority w:val="39"/>
    <w:semiHidden/>
    <w:unhideWhenUsed/>
    <w:rsid w:val="00F9317F"/>
    <w:pPr>
      <w:spacing w:line="240" w:lineRule="auto"/>
    </w:pPr>
    <w:rPr>
      <w:rFonts w:ascii="Consolas" w:hAnsi="Consolas"/>
      <w:sz w:val="21"/>
      <w:szCs w:val="21"/>
    </w:rPr>
  </w:style>
  <w:style w:type="character" w:styleId="PlainTextChar" w:customStyle="1">
    <w:name w:val="Plain Text Char"/>
    <w:basedOn w:val="DefaultParagraphFont"/>
    <w:link w:val="PlainText"/>
    <w:uiPriority w:val="39"/>
    <w:semiHidden/>
    <w:rsid w:val="00F9317F"/>
    <w:rPr>
      <w:rFonts w:ascii="Consolas" w:hAnsi="Consolas"/>
      <w:spacing w:val="2"/>
      <w:sz w:val="21"/>
      <w:szCs w:val="21"/>
    </w:rPr>
  </w:style>
  <w:style w:type="character" w:styleId="Mention">
    <w:name w:val="Mention"/>
    <w:basedOn w:val="DefaultParagraphFont"/>
    <w:uiPriority w:val="99"/>
    <w:unhideWhenUsed/>
    <w:rsid w:val="00A13AB9"/>
    <w:rPr>
      <w:color w:val="2B579A"/>
      <w:shd w:val="clear" w:color="auto" w:fill="E1DFDD"/>
    </w:rPr>
  </w:style>
  <w:style w:type="character" w:styleId="FollowedHyperlink">
    <w:name w:val="FollowedHyperlink"/>
    <w:basedOn w:val="DefaultParagraphFont"/>
    <w:semiHidden/>
    <w:unhideWhenUsed/>
    <w:rsid w:val="0029105A"/>
    <w:rPr>
      <w:color w:val="9A64A9" w:themeColor="followedHyperlink"/>
      <w:u w:val="single"/>
    </w:rPr>
  </w:style>
  <w:style w:type="character" w:styleId="UnresolvedMention">
    <w:name w:val="Unresolved Mention"/>
    <w:basedOn w:val="DefaultParagraphFont"/>
    <w:uiPriority w:val="99"/>
    <w:semiHidden/>
    <w:unhideWhenUsed/>
    <w:rsid w:val="002910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saveSmartTagsAsXml/>
</w:webSettings>
</file>

<file path=word/_rels/document.xml.rels>&#65279;<?xml version="1.0" encoding="utf-8"?><Relationships xmlns="http://schemas.openxmlformats.org/package/2006/relationships"><Relationship Type="http://schemas.openxmlformats.org/officeDocument/2006/relationships/header" Target="header3.xml" Id="rId13" /><Relationship Type="http://schemas.openxmlformats.org/officeDocument/2006/relationships/image" Target="media/image5.png" Id="rId18" /><Relationship Type="http://schemas.openxmlformats.org/officeDocument/2006/relationships/hyperlink" Target="https://forecast.id.com.au/geelong" TargetMode="External" Id="rId26" /><Relationship Type="http://schemas.openxmlformats.org/officeDocument/2006/relationships/hyperlink" Target="https://www.ahuri.edu.au/research/final-reports/232" TargetMode="External" Id="rId21"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image" Target="media/image4.jpg" Id="rId17" /><Relationship Type="http://schemas.openxmlformats.org/officeDocument/2006/relationships/hyperlink" Target="https://housing.id.com.au/geelong" TargetMode="External" Id="rId25" /><Relationship Type="http://schemas.openxmlformats.org/officeDocument/2006/relationships/hyperlink" Target="https://www.ahuri.edu.au/research/final-reports/233" TargetMode="External"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hyperlink" Target="http://apo.org.au/node/53883" TargetMode="External" Id="rId20" /><Relationship Type="http://schemas.openxmlformats.org/officeDocument/2006/relationships/hyperlink" Target="https://www.pc.gov.au/inquiries/completed/housing-homelessness/report/housing-homelessness-overview.pdf" TargetMode="Externa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hyperlink" Target="https://grattan.edu.au/wp-content/uploads/2015/07/826-Property-Taxes.pdf" TargetMode="External" Id="rId24" /><Relationship Type="http://schemas.openxmlformats.org/officeDocument/2006/relationships/hyperlink" Target="https://www.rba.gov.au/speeches/2022/sp-so-2022-09-19.html" TargetMode="External" Id="rId32" /><Relationship Type="http://schemas.openxmlformats.org/officeDocument/2006/relationships/fontTable" Target="fontTable.xml" Id="rId37" /><Relationship Type="http://schemas.openxmlformats.org/officeDocument/2006/relationships/settings" Target="settings.xml" Id="rId5" /><Relationship Type="http://schemas.openxmlformats.org/officeDocument/2006/relationships/image" Target="media/image2.png" Id="rId15" /><Relationship Type="http://schemas.openxmlformats.org/officeDocument/2006/relationships/hyperlink" Target="https://www.geelongaustralia.com.au/business/statistics/article/item/8d01ebfdb936404.aspx" TargetMode="External" Id="rId23" /><Relationship Type="http://schemas.openxmlformats.org/officeDocument/2006/relationships/hyperlink" Target="https://www.infrastructurevictoria.com.au/wp-content/uploads/2023/03/Policy-evidence-for-more-housing-options-in-Victoria.pdf" TargetMode="External" Id="rId28" /><Relationship Type="http://schemas.openxmlformats.org/officeDocument/2006/relationships/image" Target="media/image8.jpg" Id="rId36" /><Relationship Type="http://schemas.openxmlformats.org/officeDocument/2006/relationships/header" Target="header2.xml" Id="rId10" /><Relationship Type="http://schemas.openxmlformats.org/officeDocument/2006/relationships/hyperlink" Target="https://aaeh.org.au/atoz" TargetMode="External" Id="rId19" /><Relationship Type="http://schemas.openxmlformats.org/officeDocument/2006/relationships/hyperlink" Target="https://www.rba.gov.au/cash-rate-target-overview.html" TargetMode="External" Id="rId31"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hyperlink" Target="https://www.geelongaustralia.com.au/common/public/documents/8d7b9e5836a6cf2-socialhousingplan2020-2041.PDF" TargetMode="External" Id="rId22" /><Relationship Type="http://schemas.openxmlformats.org/officeDocument/2006/relationships/hyperlink" Target="https://www.smec.com/om/insights/victorian-construction-costs/" TargetMode="External" Id="rId27" /><Relationship Type="http://schemas.openxmlformats.org/officeDocument/2006/relationships/hyperlink" Target="https://www.pc.gov.au/inquiries/completed/infrastructure/report" TargetMode="External" Id="rId30" /><Relationship Type="http://schemas.openxmlformats.org/officeDocument/2006/relationships/endnotes" Target="endnotes.xml" Id="rId8" /><Relationship Type="http://schemas.openxmlformats.org/officeDocument/2006/relationships/numbering" Target="numbering.xml" Id="rId3" /></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h10876\AppData\Roaming\Microsoft\Templates\TRIM\Corporate%20Templates\COGG%20Report%20Template.DOTM"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003263"/>
      </a:accent2>
      <a:accent3>
        <a:srgbClr val="F04E2D"/>
      </a:accent3>
      <a:accent4>
        <a:srgbClr val="50BFA2"/>
      </a:accent4>
      <a:accent5>
        <a:srgbClr val="9A64A9"/>
      </a:accent5>
      <a:accent6>
        <a:srgbClr val="FFCF62"/>
      </a:accent6>
      <a:hlink>
        <a:srgbClr val="231F20"/>
      </a:hlink>
      <a:folHlink>
        <a:srgbClr val="9A64A9"/>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51086517-9CD4-490B-BDA7-2BEE6FAD5521}">
  <ds:schemaRefs>
    <ds:schemaRef ds:uri="http://schemas.openxmlformats.org/officeDocument/2006/bibliography"/>
  </ds:schemaRefs>
</ds:datastoreItem>
</file>

<file path=customXml/itemProps2.xml><?xml version="1.0" encoding="utf-8"?>
<ds:datastoreItem xmlns:ds="http://schemas.openxmlformats.org/officeDocument/2006/customXml" ds:itemID="{2E847BF5-A89C-42DF-83E7-222EE1E003AC}">
  <ds:schemaRefs>
    <ds:schemaRef ds:uri="http://www.w3.org/2001/XMLSchem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COGG Report Template.DOTM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Jessica Hurse</dc:creator>
  <keywords/>
  <lastModifiedBy>James Yeoh</lastModifiedBy>
  <revision>403</revision>
  <lastPrinted>2017-07-25T07:17:00.0000000Z</lastPrinted>
  <dcterms:created xsi:type="dcterms:W3CDTF">2023-10-13T16:30:00.0000000Z</dcterms:created>
  <dcterms:modified xsi:type="dcterms:W3CDTF">2023-10-20T04:59:38.4419395Z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xTemplateVersion">
    <vt:lpwstr>1.0</vt:lpwstr>
  </property>
</Properties>
</file>