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8BA" w:rsidRDefault="00FD72CB" w:rsidP="000158BA">
      <w:pPr>
        <w:pStyle w:val="Heading1"/>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5pt;margin-top:-13.8pt;width:92.15pt;height:34.6pt;z-index:251657728;visibility:visible;mso-wrap-edited:f" o:allowincell="f" fillcolor="window">
            <v:imagedata r:id="rId8" o:title=""/>
          </v:shape>
          <o:OLEObject Type="Embed" ProgID="Word.Picture.8" ShapeID="_x0000_s1026" DrawAspect="Content" ObjectID="_1494742392" r:id="rId9"/>
        </w:pict>
      </w:r>
      <w:r w:rsidR="000158BA">
        <w:rPr>
          <w:noProof/>
          <w:sz w:val="32"/>
        </w:rPr>
        <w:t>COUNCIL POLICY</w:t>
      </w:r>
    </w:p>
    <w:p w:rsidR="000158BA" w:rsidRDefault="000158BA" w:rsidP="000158BA">
      <w:pPr>
        <w:jc w:val="center"/>
      </w:pPr>
    </w:p>
    <w:tbl>
      <w:tblPr>
        <w:tblW w:w="0" w:type="auto"/>
        <w:tblInd w:w="108" w:type="dxa"/>
        <w:tblLayout w:type="fixed"/>
        <w:tblLook w:val="0000"/>
      </w:tblPr>
      <w:tblGrid>
        <w:gridCol w:w="2552"/>
        <w:gridCol w:w="3402"/>
        <w:gridCol w:w="1843"/>
        <w:gridCol w:w="1559"/>
      </w:tblGrid>
      <w:tr w:rsidR="000158BA">
        <w:trPr>
          <w:cantSplit/>
        </w:trPr>
        <w:tc>
          <w:tcPr>
            <w:tcW w:w="5954" w:type="dxa"/>
            <w:gridSpan w:val="2"/>
            <w:vMerge w:val="restart"/>
            <w:tcBorders>
              <w:top w:val="single" w:sz="6" w:space="0" w:color="auto"/>
              <w:left w:val="single" w:sz="6" w:space="0" w:color="auto"/>
              <w:bottom w:val="nil"/>
              <w:right w:val="single" w:sz="6" w:space="0" w:color="auto"/>
            </w:tcBorders>
            <w:vAlign w:val="center"/>
          </w:tcPr>
          <w:p w:rsidR="000158BA" w:rsidRDefault="000158BA" w:rsidP="0054778A">
            <w:pPr>
              <w:jc w:val="center"/>
              <w:rPr>
                <w:b/>
                <w:sz w:val="32"/>
              </w:rPr>
            </w:pPr>
            <w:bookmarkStart w:id="0" w:name="Title"/>
            <w:r>
              <w:rPr>
                <w:b/>
                <w:sz w:val="32"/>
              </w:rPr>
              <w:t>Recreation Reserve Advertising Signage Policy</w:t>
            </w:r>
            <w:bookmarkEnd w:id="0"/>
          </w:p>
        </w:tc>
        <w:tc>
          <w:tcPr>
            <w:tcW w:w="1843" w:type="dxa"/>
            <w:tcBorders>
              <w:top w:val="single" w:sz="6" w:space="0" w:color="auto"/>
              <w:left w:val="single" w:sz="6" w:space="0" w:color="auto"/>
              <w:bottom w:val="single" w:sz="6" w:space="0" w:color="auto"/>
              <w:right w:val="single" w:sz="6" w:space="0" w:color="auto"/>
            </w:tcBorders>
          </w:tcPr>
          <w:p w:rsidR="000158BA" w:rsidRDefault="000158BA" w:rsidP="0054778A">
            <w:r>
              <w:t>Document No:</w:t>
            </w:r>
          </w:p>
        </w:tc>
        <w:tc>
          <w:tcPr>
            <w:tcW w:w="1559" w:type="dxa"/>
            <w:tcBorders>
              <w:top w:val="single" w:sz="6" w:space="0" w:color="auto"/>
              <w:bottom w:val="single" w:sz="6" w:space="0" w:color="auto"/>
              <w:right w:val="single" w:sz="6" w:space="0" w:color="auto"/>
            </w:tcBorders>
          </w:tcPr>
          <w:p w:rsidR="000158BA" w:rsidRDefault="000158BA" w:rsidP="0054778A">
            <w:smartTag w:uri="urn:schemas-microsoft-com:office:smarttags" w:element="stockticker">
              <w:r>
                <w:t>CPL</w:t>
              </w:r>
            </w:smartTag>
            <w:r>
              <w:t>285.5</w:t>
            </w:r>
          </w:p>
        </w:tc>
      </w:tr>
      <w:tr w:rsidR="000158BA">
        <w:trPr>
          <w:cantSplit/>
        </w:trPr>
        <w:tc>
          <w:tcPr>
            <w:tcW w:w="5954" w:type="dxa"/>
            <w:gridSpan w:val="2"/>
            <w:vMerge/>
            <w:tcBorders>
              <w:left w:val="single" w:sz="6" w:space="0" w:color="auto"/>
              <w:bottom w:val="nil"/>
              <w:right w:val="single" w:sz="6" w:space="0" w:color="auto"/>
            </w:tcBorders>
          </w:tcPr>
          <w:p w:rsidR="000158BA" w:rsidRDefault="000158BA" w:rsidP="0054778A"/>
        </w:tc>
        <w:tc>
          <w:tcPr>
            <w:tcW w:w="1843" w:type="dxa"/>
            <w:tcBorders>
              <w:top w:val="single" w:sz="6" w:space="0" w:color="auto"/>
              <w:left w:val="single" w:sz="6" w:space="0" w:color="auto"/>
              <w:right w:val="single" w:sz="6" w:space="0" w:color="auto"/>
            </w:tcBorders>
          </w:tcPr>
          <w:p w:rsidR="000158BA" w:rsidRDefault="000158BA" w:rsidP="0054778A">
            <w:r>
              <w:t xml:space="preserve">Approval Date:  </w:t>
            </w:r>
          </w:p>
        </w:tc>
        <w:tc>
          <w:tcPr>
            <w:tcW w:w="1559" w:type="dxa"/>
            <w:tcBorders>
              <w:top w:val="single" w:sz="6" w:space="0" w:color="auto"/>
              <w:right w:val="single" w:sz="6" w:space="0" w:color="auto"/>
            </w:tcBorders>
          </w:tcPr>
          <w:p w:rsidR="000158BA" w:rsidRDefault="00EB3A07" w:rsidP="0016319E">
            <w:r>
              <w:t>22 April 2014</w:t>
            </w:r>
          </w:p>
        </w:tc>
      </w:tr>
      <w:tr w:rsidR="000158BA">
        <w:trPr>
          <w:cantSplit/>
        </w:trPr>
        <w:tc>
          <w:tcPr>
            <w:tcW w:w="5954" w:type="dxa"/>
            <w:gridSpan w:val="2"/>
            <w:vMerge/>
            <w:tcBorders>
              <w:left w:val="single" w:sz="6" w:space="0" w:color="auto"/>
              <w:bottom w:val="nil"/>
              <w:right w:val="single" w:sz="6" w:space="0" w:color="auto"/>
            </w:tcBorders>
          </w:tcPr>
          <w:p w:rsidR="000158BA" w:rsidRDefault="000158BA" w:rsidP="0054778A"/>
        </w:tc>
        <w:tc>
          <w:tcPr>
            <w:tcW w:w="1843" w:type="dxa"/>
            <w:tcBorders>
              <w:top w:val="single" w:sz="6" w:space="0" w:color="auto"/>
              <w:left w:val="single" w:sz="6" w:space="0" w:color="auto"/>
              <w:right w:val="single" w:sz="6" w:space="0" w:color="auto"/>
            </w:tcBorders>
          </w:tcPr>
          <w:p w:rsidR="000158BA" w:rsidRDefault="000158BA" w:rsidP="0054778A">
            <w:r>
              <w:t>Approved By:</w:t>
            </w:r>
          </w:p>
        </w:tc>
        <w:tc>
          <w:tcPr>
            <w:tcW w:w="1559" w:type="dxa"/>
            <w:tcBorders>
              <w:top w:val="single" w:sz="6" w:space="0" w:color="auto"/>
              <w:right w:val="single" w:sz="6" w:space="0" w:color="auto"/>
            </w:tcBorders>
          </w:tcPr>
          <w:p w:rsidR="000158BA" w:rsidRDefault="000158BA" w:rsidP="0054778A">
            <w:r>
              <w:t>Council</w:t>
            </w:r>
          </w:p>
        </w:tc>
      </w:tr>
      <w:tr w:rsidR="000158BA">
        <w:trPr>
          <w:cantSplit/>
          <w:trHeight w:val="350"/>
        </w:trPr>
        <w:tc>
          <w:tcPr>
            <w:tcW w:w="5954" w:type="dxa"/>
            <w:gridSpan w:val="2"/>
            <w:vMerge/>
            <w:tcBorders>
              <w:left w:val="single" w:sz="6" w:space="0" w:color="auto"/>
              <w:right w:val="single" w:sz="6" w:space="0" w:color="auto"/>
            </w:tcBorders>
          </w:tcPr>
          <w:p w:rsidR="000158BA" w:rsidRDefault="000158BA" w:rsidP="0054778A"/>
        </w:tc>
        <w:tc>
          <w:tcPr>
            <w:tcW w:w="1843" w:type="dxa"/>
            <w:tcBorders>
              <w:top w:val="single" w:sz="6" w:space="0" w:color="auto"/>
              <w:left w:val="single" w:sz="6" w:space="0" w:color="auto"/>
              <w:right w:val="single" w:sz="6" w:space="0" w:color="auto"/>
            </w:tcBorders>
          </w:tcPr>
          <w:p w:rsidR="000158BA" w:rsidRDefault="000158BA" w:rsidP="0054778A">
            <w:r>
              <w:t>Review Date:</w:t>
            </w:r>
          </w:p>
        </w:tc>
        <w:tc>
          <w:tcPr>
            <w:tcW w:w="1559" w:type="dxa"/>
            <w:tcBorders>
              <w:top w:val="single" w:sz="6" w:space="0" w:color="auto"/>
              <w:right w:val="single" w:sz="6" w:space="0" w:color="auto"/>
            </w:tcBorders>
          </w:tcPr>
          <w:p w:rsidR="000158BA" w:rsidRDefault="00EB3A07" w:rsidP="0016319E">
            <w:r>
              <w:t>22 April 2017</w:t>
            </w:r>
          </w:p>
        </w:tc>
      </w:tr>
      <w:tr w:rsidR="000158BA">
        <w:trPr>
          <w:cantSplit/>
        </w:trPr>
        <w:tc>
          <w:tcPr>
            <w:tcW w:w="5954" w:type="dxa"/>
            <w:gridSpan w:val="2"/>
            <w:tcBorders>
              <w:top w:val="single" w:sz="4" w:space="0" w:color="auto"/>
              <w:left w:val="single" w:sz="6" w:space="0" w:color="auto"/>
              <w:right w:val="single" w:sz="6" w:space="0" w:color="auto"/>
            </w:tcBorders>
          </w:tcPr>
          <w:p w:rsidR="000158BA" w:rsidRDefault="000158BA" w:rsidP="0054778A">
            <w:pPr>
              <w:rPr>
                <w:b/>
              </w:rPr>
            </w:pPr>
            <w:r>
              <w:t>Responsible Officer:</w:t>
            </w:r>
          </w:p>
        </w:tc>
        <w:tc>
          <w:tcPr>
            <w:tcW w:w="1843" w:type="dxa"/>
            <w:tcBorders>
              <w:top w:val="single" w:sz="4" w:space="0" w:color="auto"/>
              <w:left w:val="single" w:sz="6" w:space="0" w:color="auto"/>
              <w:bottom w:val="single" w:sz="6" w:space="0" w:color="auto"/>
              <w:right w:val="single" w:sz="6" w:space="0" w:color="auto"/>
            </w:tcBorders>
          </w:tcPr>
          <w:p w:rsidR="000158BA" w:rsidRDefault="000158BA" w:rsidP="0054778A">
            <w:r>
              <w:t>Expiry Date:</w:t>
            </w:r>
          </w:p>
        </w:tc>
        <w:tc>
          <w:tcPr>
            <w:tcW w:w="1559" w:type="dxa"/>
            <w:tcBorders>
              <w:top w:val="single" w:sz="4" w:space="0" w:color="auto"/>
              <w:bottom w:val="single" w:sz="6" w:space="0" w:color="auto"/>
              <w:right w:val="single" w:sz="6" w:space="0" w:color="auto"/>
            </w:tcBorders>
          </w:tcPr>
          <w:p w:rsidR="000158BA" w:rsidRDefault="00391FB0" w:rsidP="0054778A">
            <w:r>
              <w:t>N/A</w:t>
            </w:r>
          </w:p>
        </w:tc>
      </w:tr>
      <w:tr w:rsidR="000158BA">
        <w:trPr>
          <w:cantSplit/>
        </w:trPr>
        <w:tc>
          <w:tcPr>
            <w:tcW w:w="5954" w:type="dxa"/>
            <w:gridSpan w:val="2"/>
            <w:tcBorders>
              <w:left w:val="single" w:sz="6" w:space="0" w:color="auto"/>
            </w:tcBorders>
          </w:tcPr>
          <w:p w:rsidR="000158BA" w:rsidRDefault="000158BA" w:rsidP="00273262">
            <w:pPr>
              <w:rPr>
                <w:b/>
              </w:rPr>
            </w:pPr>
            <w:r>
              <w:rPr>
                <w:b/>
              </w:rPr>
              <w:t xml:space="preserve">General Manager – </w:t>
            </w:r>
            <w:r w:rsidR="00273262">
              <w:rPr>
                <w:b/>
                <w:sz w:val="18"/>
                <w:szCs w:val="18"/>
              </w:rPr>
              <w:t xml:space="preserve"> </w:t>
            </w:r>
            <w:r w:rsidR="00273262">
              <w:rPr>
                <w:rFonts w:ascii="Tahoma" w:hAnsi="Tahoma" w:cs="Tahoma"/>
              </w:rPr>
              <w:t>Projects Recreation and Central Geelong</w:t>
            </w:r>
          </w:p>
        </w:tc>
        <w:tc>
          <w:tcPr>
            <w:tcW w:w="1843" w:type="dxa"/>
            <w:tcBorders>
              <w:top w:val="single" w:sz="6" w:space="0" w:color="auto"/>
              <w:left w:val="single" w:sz="6" w:space="0" w:color="auto"/>
              <w:right w:val="single" w:sz="6" w:space="0" w:color="auto"/>
            </w:tcBorders>
          </w:tcPr>
          <w:p w:rsidR="000158BA" w:rsidRDefault="000158BA" w:rsidP="0054778A">
            <w:r>
              <w:t>Version No:</w:t>
            </w:r>
          </w:p>
        </w:tc>
        <w:tc>
          <w:tcPr>
            <w:tcW w:w="1559" w:type="dxa"/>
            <w:tcBorders>
              <w:top w:val="single" w:sz="6" w:space="0" w:color="auto"/>
              <w:right w:val="single" w:sz="6" w:space="0" w:color="auto"/>
            </w:tcBorders>
          </w:tcPr>
          <w:p w:rsidR="000158BA" w:rsidRDefault="000158BA" w:rsidP="0054778A">
            <w:bookmarkStart w:id="1" w:name="VersionNo"/>
            <w:r>
              <w:t>0</w:t>
            </w:r>
            <w:bookmarkEnd w:id="1"/>
            <w:r w:rsidR="00EB3A07">
              <w:t>2</w:t>
            </w:r>
          </w:p>
        </w:tc>
      </w:tr>
      <w:tr w:rsidR="000158BA">
        <w:trPr>
          <w:cantSplit/>
          <w:trHeight w:val="683"/>
        </w:trPr>
        <w:tc>
          <w:tcPr>
            <w:tcW w:w="2552" w:type="dxa"/>
            <w:tcBorders>
              <w:top w:val="single" w:sz="4" w:space="0" w:color="auto"/>
              <w:left w:val="single" w:sz="4" w:space="0" w:color="auto"/>
              <w:bottom w:val="single" w:sz="4" w:space="0" w:color="auto"/>
            </w:tcBorders>
            <w:vAlign w:val="center"/>
          </w:tcPr>
          <w:p w:rsidR="000158BA" w:rsidRDefault="000158BA" w:rsidP="0054778A">
            <w:pPr>
              <w:ind w:left="2302" w:hanging="2302"/>
            </w:pPr>
            <w:r>
              <w:t>Authorising Officer:</w:t>
            </w:r>
            <w:r>
              <w:tab/>
            </w:r>
          </w:p>
        </w:tc>
        <w:tc>
          <w:tcPr>
            <w:tcW w:w="6804" w:type="dxa"/>
            <w:gridSpan w:val="3"/>
            <w:tcBorders>
              <w:top w:val="single" w:sz="4" w:space="0" w:color="auto"/>
              <w:left w:val="nil"/>
              <w:bottom w:val="single" w:sz="4" w:space="0" w:color="auto"/>
              <w:right w:val="single" w:sz="4" w:space="0" w:color="auto"/>
            </w:tcBorders>
            <w:vAlign w:val="center"/>
          </w:tcPr>
          <w:p w:rsidR="000158BA" w:rsidRDefault="000158BA" w:rsidP="00391FB0">
            <w:pPr>
              <w:ind w:left="2302" w:hanging="2302"/>
              <w:jc w:val="right"/>
              <w:rPr>
                <w:b/>
              </w:rPr>
            </w:pPr>
            <w:r>
              <w:rPr>
                <w:b/>
              </w:rPr>
              <w:t>Chief Executive</w:t>
            </w:r>
            <w:r w:rsidR="00391FB0">
              <w:rPr>
                <w:b/>
              </w:rPr>
              <w:t xml:space="preserve"> Officer</w:t>
            </w:r>
          </w:p>
        </w:tc>
      </w:tr>
    </w:tbl>
    <w:p w:rsidR="000158BA" w:rsidRDefault="000158BA" w:rsidP="000158BA"/>
    <w:p w:rsidR="000158BA" w:rsidRDefault="000158BA" w:rsidP="000158BA">
      <w:pPr>
        <w:pStyle w:val="NumberedPara"/>
        <w:numPr>
          <w:ilvl w:val="0"/>
          <w:numId w:val="5"/>
        </w:numPr>
      </w:pPr>
      <w:r>
        <w:t xml:space="preserve">PURPOSE </w:t>
      </w:r>
    </w:p>
    <w:p w:rsidR="000158BA" w:rsidRDefault="000158BA" w:rsidP="000158BA">
      <w:r>
        <w:t>To establish guidelines for approval of advertising and sponsorship signage at Council sporting reserves that ensure:</w:t>
      </w:r>
    </w:p>
    <w:p w:rsidR="00954DC2" w:rsidRDefault="00954DC2" w:rsidP="000158BA"/>
    <w:p w:rsidR="000158BA" w:rsidRDefault="000158BA" w:rsidP="00091D86">
      <w:pPr>
        <w:pStyle w:val="SumPoint"/>
        <w:numPr>
          <w:ilvl w:val="0"/>
          <w:numId w:val="6"/>
        </w:numPr>
      </w:pPr>
      <w:r>
        <w:t>Signage installation is of an acceptable and safe standard</w:t>
      </w:r>
      <w:r w:rsidR="00091D86">
        <w:t>.</w:t>
      </w:r>
    </w:p>
    <w:p w:rsidR="000158BA" w:rsidRDefault="000158BA" w:rsidP="00091D86">
      <w:pPr>
        <w:pStyle w:val="SummaryPoints"/>
        <w:numPr>
          <w:ilvl w:val="0"/>
          <w:numId w:val="6"/>
        </w:numPr>
      </w:pPr>
      <w:r>
        <w:t>Installation is in line with adopted policies</w:t>
      </w:r>
      <w:r w:rsidR="00091D86">
        <w:t>.</w:t>
      </w:r>
    </w:p>
    <w:p w:rsidR="000158BA" w:rsidRDefault="000158BA" w:rsidP="00091D86">
      <w:pPr>
        <w:pStyle w:val="SummaryPoints"/>
        <w:numPr>
          <w:ilvl w:val="0"/>
          <w:numId w:val="6"/>
        </w:numPr>
      </w:pPr>
      <w:r>
        <w:t>Consistency in approvals to community groups displaying their sponsors advertising signs</w:t>
      </w:r>
      <w:r w:rsidR="00091D86">
        <w:t>.</w:t>
      </w:r>
    </w:p>
    <w:p w:rsidR="000158BA" w:rsidRDefault="000158BA" w:rsidP="00091D86">
      <w:pPr>
        <w:pStyle w:val="SummaryPoints"/>
        <w:numPr>
          <w:ilvl w:val="0"/>
          <w:numId w:val="6"/>
        </w:numPr>
      </w:pPr>
      <w:r>
        <w:t>Clubs are not denied the opportunity to derive a reasonable income from reserve signage</w:t>
      </w:r>
      <w:r w:rsidR="00091D86">
        <w:t>.</w:t>
      </w:r>
    </w:p>
    <w:p w:rsidR="000158BA" w:rsidRDefault="000158BA" w:rsidP="00091D86">
      <w:pPr>
        <w:pStyle w:val="SummaryPoints"/>
        <w:numPr>
          <w:ilvl w:val="0"/>
          <w:numId w:val="6"/>
        </w:numPr>
      </w:pPr>
      <w:r>
        <w:t>Facilities continue to be accessible and safe for use by all sections of the community.</w:t>
      </w:r>
    </w:p>
    <w:p w:rsidR="00091D86" w:rsidRDefault="00091D86" w:rsidP="00091D86">
      <w:pPr>
        <w:pStyle w:val="SummaryPoints"/>
        <w:numPr>
          <w:ilvl w:val="0"/>
          <w:numId w:val="6"/>
        </w:numPr>
      </w:pPr>
      <w:r>
        <w:t>The visual amenity of sporting reserves and open space is maintained.</w:t>
      </w:r>
    </w:p>
    <w:p w:rsidR="000158BA" w:rsidRDefault="000158BA" w:rsidP="00091D86">
      <w:pPr>
        <w:pStyle w:val="NumberedPara"/>
        <w:numPr>
          <w:ilvl w:val="0"/>
          <w:numId w:val="5"/>
        </w:numPr>
      </w:pPr>
      <w:r>
        <w:t xml:space="preserve">SCOPE </w:t>
      </w:r>
    </w:p>
    <w:p w:rsidR="00273262" w:rsidRDefault="000158BA" w:rsidP="000158BA">
      <w:r>
        <w:t>The policy relat</w:t>
      </w:r>
      <w:r w:rsidR="00A80B71">
        <w:t>es</w:t>
      </w:r>
      <w:r>
        <w:t xml:space="preserve"> to all Council owned and managed reserves and associated facilities including sports grounds, pavilions, toilets, buildings and </w:t>
      </w:r>
      <w:r w:rsidR="00954DC2">
        <w:t xml:space="preserve">club </w:t>
      </w:r>
      <w:r>
        <w:t xml:space="preserve">infrastructure </w:t>
      </w:r>
      <w:r w:rsidR="00954DC2">
        <w:t>(including</w:t>
      </w:r>
      <w:r>
        <w:t xml:space="preserve"> scoreboards, coaches boxes and fencing</w:t>
      </w:r>
      <w:r w:rsidR="00954DC2">
        <w:t>)</w:t>
      </w:r>
      <w:r>
        <w:t xml:space="preserve"> .</w:t>
      </w:r>
      <w:r w:rsidR="002352A0">
        <w:t xml:space="preserve"> The zoning designation of these </w:t>
      </w:r>
      <w:r w:rsidR="00613D25">
        <w:t>areas</w:t>
      </w:r>
      <w:r w:rsidR="002352A0">
        <w:t xml:space="preserve"> is Public Park and Recreation Zone (PPRZ)</w:t>
      </w:r>
      <w:r w:rsidR="00954DC2">
        <w:t>.</w:t>
      </w:r>
      <w:r w:rsidR="00A905BE">
        <w:t xml:space="preserve">  </w:t>
      </w:r>
      <w:r w:rsidR="00273262">
        <w:t xml:space="preserve">The </w:t>
      </w:r>
      <w:r w:rsidR="00273262" w:rsidRPr="00A905BE">
        <w:rPr>
          <w:color w:val="auto"/>
        </w:rPr>
        <w:t>policy</w:t>
      </w:r>
      <w:r w:rsidR="00273262">
        <w:t xml:space="preserve"> </w:t>
      </w:r>
      <w:r w:rsidR="00273262" w:rsidRPr="00391FB0">
        <w:rPr>
          <w:color w:val="auto"/>
        </w:rPr>
        <w:t xml:space="preserve">excludes </w:t>
      </w:r>
      <w:r w:rsidR="00954DC2" w:rsidRPr="00391FB0">
        <w:rPr>
          <w:color w:val="auto"/>
        </w:rPr>
        <w:t>the sports s</w:t>
      </w:r>
      <w:r w:rsidR="00273262" w:rsidRPr="00391FB0">
        <w:rPr>
          <w:color w:val="auto"/>
        </w:rPr>
        <w:t>tadium</w:t>
      </w:r>
      <w:r w:rsidR="00954DC2" w:rsidRPr="00391FB0">
        <w:rPr>
          <w:color w:val="auto"/>
        </w:rPr>
        <w:t xml:space="preserve"> at </w:t>
      </w:r>
      <w:r w:rsidR="00A905BE" w:rsidRPr="00391FB0">
        <w:rPr>
          <w:color w:val="auto"/>
        </w:rPr>
        <w:t>Kardinia</w:t>
      </w:r>
      <w:r w:rsidR="00954DC2" w:rsidRPr="00391FB0">
        <w:rPr>
          <w:color w:val="auto"/>
        </w:rPr>
        <w:t xml:space="preserve"> Park</w:t>
      </w:r>
      <w:r w:rsidR="002352A0" w:rsidRPr="00391FB0">
        <w:rPr>
          <w:color w:val="auto"/>
        </w:rPr>
        <w:t>.</w:t>
      </w:r>
    </w:p>
    <w:p w:rsidR="00091D86" w:rsidRDefault="00091D86" w:rsidP="00091D86">
      <w:pPr>
        <w:pStyle w:val="SumPoint"/>
        <w:numPr>
          <w:ilvl w:val="0"/>
          <w:numId w:val="0"/>
        </w:numPr>
      </w:pPr>
    </w:p>
    <w:p w:rsidR="000158BA" w:rsidRPr="00091D86" w:rsidRDefault="00091D86" w:rsidP="00091D86">
      <w:pPr>
        <w:pStyle w:val="SumPoint"/>
        <w:numPr>
          <w:ilvl w:val="0"/>
          <w:numId w:val="0"/>
        </w:numPr>
        <w:tabs>
          <w:tab w:val="left" w:pos="426"/>
        </w:tabs>
        <w:rPr>
          <w:b/>
        </w:rPr>
      </w:pPr>
      <w:r>
        <w:rPr>
          <w:b/>
        </w:rPr>
        <w:t>3.</w:t>
      </w:r>
      <w:r>
        <w:rPr>
          <w:b/>
        </w:rPr>
        <w:tab/>
      </w:r>
      <w:r w:rsidR="000158BA" w:rsidRPr="00091D86">
        <w:rPr>
          <w:b/>
        </w:rPr>
        <w:t>REFERENCES</w:t>
      </w:r>
    </w:p>
    <w:p w:rsidR="0016319E" w:rsidRDefault="009F0D48" w:rsidP="000158BA">
      <w:pPr>
        <w:pStyle w:val="SumPoint"/>
      </w:pPr>
      <w:r>
        <w:t xml:space="preserve">Greater </w:t>
      </w:r>
      <w:r w:rsidR="0016319E">
        <w:t xml:space="preserve">Geelong Planning Scheme - 52.05 Advertising Signs </w:t>
      </w:r>
    </w:p>
    <w:p w:rsidR="000158BA" w:rsidRDefault="00091D86" w:rsidP="00091D86">
      <w:pPr>
        <w:pStyle w:val="SumPoint"/>
        <w:numPr>
          <w:ilvl w:val="0"/>
          <w:numId w:val="0"/>
        </w:numPr>
        <w:tabs>
          <w:tab w:val="left" w:pos="426"/>
        </w:tabs>
      </w:pPr>
      <w:r>
        <w:rPr>
          <w:b/>
        </w:rPr>
        <w:t>4.</w:t>
      </w:r>
      <w:r>
        <w:rPr>
          <w:b/>
        </w:rPr>
        <w:tab/>
      </w:r>
      <w:r w:rsidR="000158BA" w:rsidRPr="00091D86">
        <w:rPr>
          <w:b/>
        </w:rPr>
        <w:t>DEFINITIONS</w:t>
      </w:r>
    </w:p>
    <w:p w:rsidR="000158BA" w:rsidRDefault="000158BA" w:rsidP="00091D86">
      <w:pPr>
        <w:pStyle w:val="SumPoint"/>
      </w:pPr>
      <w:r>
        <w:t>Nil</w:t>
      </w:r>
    </w:p>
    <w:p w:rsidR="000158BA" w:rsidRDefault="00091D86" w:rsidP="00091D86">
      <w:pPr>
        <w:pStyle w:val="SumPoint"/>
        <w:numPr>
          <w:ilvl w:val="0"/>
          <w:numId w:val="0"/>
        </w:numPr>
        <w:tabs>
          <w:tab w:val="left" w:pos="426"/>
        </w:tabs>
      </w:pPr>
      <w:r>
        <w:rPr>
          <w:b/>
        </w:rPr>
        <w:t>5.</w:t>
      </w:r>
      <w:r>
        <w:rPr>
          <w:b/>
        </w:rPr>
        <w:tab/>
      </w:r>
      <w:r w:rsidR="000158BA" w:rsidRPr="00091D86">
        <w:rPr>
          <w:b/>
        </w:rPr>
        <w:t>COUNCIL</w:t>
      </w:r>
      <w:r w:rsidR="000158BA">
        <w:t xml:space="preserve"> </w:t>
      </w:r>
      <w:r w:rsidR="000158BA" w:rsidRPr="00091D86">
        <w:rPr>
          <w:b/>
        </w:rPr>
        <w:t>POLICY</w:t>
      </w:r>
      <w:r w:rsidR="000158BA">
        <w:t xml:space="preserve"> </w:t>
      </w:r>
    </w:p>
    <w:p w:rsidR="000158BA" w:rsidRDefault="000158BA" w:rsidP="000158BA">
      <w:r>
        <w:t xml:space="preserve">The City of Greater Geelong, as </w:t>
      </w:r>
      <w:r w:rsidR="0016319E">
        <w:t xml:space="preserve">an </w:t>
      </w:r>
      <w:r>
        <w:t>Asset Manager of</w:t>
      </w:r>
      <w:r w:rsidR="0016319E">
        <w:t xml:space="preserve"> public </w:t>
      </w:r>
      <w:r>
        <w:t xml:space="preserve">reserves, has the responsibility to ensure that there is a consistent approach to signage and to ensure that </w:t>
      </w:r>
      <w:r w:rsidR="00954DC2">
        <w:t xml:space="preserve">signage is </w:t>
      </w:r>
      <w:r>
        <w:t>safely erected</w:t>
      </w:r>
      <w:r w:rsidR="00A905BE">
        <w:t>,</w:t>
      </w:r>
      <w:r>
        <w:t xml:space="preserve"> maintained</w:t>
      </w:r>
      <w:r w:rsidR="0016319E">
        <w:t xml:space="preserve"> and does not detract from the visual amenity of </w:t>
      </w:r>
      <w:r w:rsidR="00187D52">
        <w:t xml:space="preserve">the </w:t>
      </w:r>
      <w:r w:rsidR="0016319E">
        <w:t>reserve</w:t>
      </w:r>
      <w:r>
        <w:t xml:space="preserve">.  </w:t>
      </w:r>
    </w:p>
    <w:p w:rsidR="000158BA" w:rsidRDefault="000158BA" w:rsidP="000158BA"/>
    <w:p w:rsidR="000158BA" w:rsidRDefault="000158BA" w:rsidP="003E26AF">
      <w:pPr>
        <w:jc w:val="both"/>
      </w:pPr>
      <w:r>
        <w:t xml:space="preserve">Signs will be permitted when they conform to the criteria set out in this Policy in addition to the Greater Geelong </w:t>
      </w:r>
      <w:r w:rsidR="009F0D48">
        <w:t>P</w:t>
      </w:r>
      <w:r>
        <w:t>lanning Scheme</w:t>
      </w:r>
      <w:r w:rsidR="00954DC2">
        <w:t>.</w:t>
      </w:r>
      <w:r>
        <w:t xml:space="preserve"> </w:t>
      </w:r>
    </w:p>
    <w:p w:rsidR="000E2656" w:rsidRDefault="000E2656" w:rsidP="003E26AF">
      <w:pPr>
        <w:jc w:val="both"/>
      </w:pPr>
    </w:p>
    <w:p w:rsidR="000158BA" w:rsidRDefault="00CA45D1" w:rsidP="00CA45D1">
      <w:pPr>
        <w:pStyle w:val="NumberedPara1"/>
        <w:numPr>
          <w:ilvl w:val="0"/>
          <w:numId w:val="0"/>
        </w:numPr>
        <w:ind w:left="397"/>
      </w:pPr>
      <w:r>
        <w:t xml:space="preserve">5.1. </w:t>
      </w:r>
      <w:r w:rsidR="000158BA">
        <w:t>Criteria for Signs</w:t>
      </w:r>
    </w:p>
    <w:p w:rsidR="000158BA" w:rsidRDefault="000158BA" w:rsidP="000158BA">
      <w:pPr>
        <w:pStyle w:val="SummaryPoints"/>
      </w:pPr>
      <w:r>
        <w:t xml:space="preserve">Written permission is to be received from Council’s </w:t>
      </w:r>
      <w:r w:rsidR="00CA45D1">
        <w:t>Recreation and Open Space Department</w:t>
      </w:r>
      <w:r>
        <w:t xml:space="preserve"> prior to seeking approval from Council’s </w:t>
      </w:r>
      <w:r w:rsidR="00CA45D1">
        <w:t>Statutory Planning</w:t>
      </w:r>
      <w:r>
        <w:t xml:space="preserve"> Department for the installation of any form of signage at a Council owned or managed reserve.  </w:t>
      </w:r>
    </w:p>
    <w:p w:rsidR="000158BA" w:rsidRDefault="000158BA" w:rsidP="000158BA">
      <w:pPr>
        <w:pStyle w:val="SummaryPoints"/>
      </w:pPr>
      <w:r>
        <w:lastRenderedPageBreak/>
        <w:t xml:space="preserve">Where a reserve is on Crown Land, permission must also be sought from the Department of </w:t>
      </w:r>
      <w:r w:rsidR="00CA45D1">
        <w:t>Sustainability &amp; Environment</w:t>
      </w:r>
      <w:r w:rsidR="00273262">
        <w:t>.</w:t>
      </w:r>
      <w:r>
        <w:t xml:space="preserve">  The </w:t>
      </w:r>
      <w:r w:rsidR="00CA45D1">
        <w:t xml:space="preserve">City </w:t>
      </w:r>
      <w:r>
        <w:t xml:space="preserve">will refer such requests where </w:t>
      </w:r>
      <w:r w:rsidR="00A80B71">
        <w:t>required</w:t>
      </w:r>
      <w:r>
        <w:t>.</w:t>
      </w:r>
    </w:p>
    <w:p w:rsidR="000158BA" w:rsidRDefault="000158BA" w:rsidP="000158BA">
      <w:pPr>
        <w:pStyle w:val="SummaryPoints"/>
      </w:pPr>
      <w:r>
        <w:t>Freestanding signs for sponsor advertising will not be permitted except where there is no oval fencing</w:t>
      </w:r>
      <w:r w:rsidR="00CA45D1">
        <w:t xml:space="preserve"> or extenuating circumstances </w:t>
      </w:r>
      <w:r w:rsidR="00954DC2">
        <w:t>can be</w:t>
      </w:r>
      <w:r w:rsidR="00CA45D1">
        <w:t xml:space="preserve"> demonstrated</w:t>
      </w:r>
      <w:r w:rsidR="00954DC2">
        <w:t>.</w:t>
      </w:r>
    </w:p>
    <w:p w:rsidR="000158BA" w:rsidRDefault="00D8047A" w:rsidP="000158BA">
      <w:pPr>
        <w:pStyle w:val="SummaryPoints"/>
      </w:pPr>
      <w:r>
        <w:t>For sports ovals s</w:t>
      </w:r>
      <w:r w:rsidR="000158BA">
        <w:t xml:space="preserve">ignage placed on oval fencing must not cover more than 50% of the </w:t>
      </w:r>
      <w:r w:rsidR="009F0D48">
        <w:t xml:space="preserve">internal </w:t>
      </w:r>
      <w:r w:rsidR="000158BA">
        <w:t>circumference and must have a three metre gap every 20 metres to allow access to the oval by passive users of the reserve.</w:t>
      </w:r>
      <w:r w:rsidR="009F0D48">
        <w:t xml:space="preserve"> Signage on the external circumference of the fence will only be allowed directly in front</w:t>
      </w:r>
      <w:r w:rsidR="00A80B71">
        <w:t xml:space="preserve"> of</w:t>
      </w:r>
      <w:r w:rsidR="009F0D48">
        <w:t xml:space="preserve"> social facilities and must not be </w:t>
      </w:r>
      <w:r w:rsidR="00613D25">
        <w:t>visible</w:t>
      </w:r>
      <w:r w:rsidR="009F0D48">
        <w:t xml:space="preserve"> beyond the reserve. </w:t>
      </w:r>
    </w:p>
    <w:p w:rsidR="000158BA" w:rsidRDefault="000158BA" w:rsidP="000158BA">
      <w:pPr>
        <w:pStyle w:val="SummaryPoints"/>
      </w:pPr>
      <w:r>
        <w:t>Signage on coaches' boxes</w:t>
      </w:r>
      <w:r w:rsidR="00D8047A">
        <w:t xml:space="preserve"> or player shelters</w:t>
      </w:r>
      <w:r>
        <w:t xml:space="preserve"> will be permitted provided it does not cover more than </w:t>
      </w:r>
      <w:r w:rsidR="00CA45D1">
        <w:t>25</w:t>
      </w:r>
      <w:r>
        <w:t xml:space="preserve">% of the </w:t>
      </w:r>
      <w:r w:rsidR="00273262">
        <w:t xml:space="preserve">internal </w:t>
      </w:r>
      <w:r>
        <w:t xml:space="preserve">surface of the </w:t>
      </w:r>
      <w:r w:rsidR="00D8047A">
        <w:t xml:space="preserve">shelter and must not be </w:t>
      </w:r>
      <w:r w:rsidR="00613D25">
        <w:t>visible</w:t>
      </w:r>
      <w:r w:rsidR="00D8047A">
        <w:t xml:space="preserve"> beyond the reserve</w:t>
      </w:r>
      <w:r>
        <w:t>.</w:t>
      </w:r>
    </w:p>
    <w:p w:rsidR="000158BA" w:rsidRDefault="000158BA" w:rsidP="00D8047A">
      <w:pPr>
        <w:pStyle w:val="SummaryPoints"/>
      </w:pPr>
      <w:r>
        <w:t xml:space="preserve">Signage on scoreboards will be permitted provided it does not </w:t>
      </w:r>
      <w:r w:rsidR="005B3AD5">
        <w:t xml:space="preserve">detract </w:t>
      </w:r>
      <w:r>
        <w:t>from the main purpose of the structure nor cover more than 25% of the surface of the scoreboard</w:t>
      </w:r>
      <w:r w:rsidR="00D8047A">
        <w:t xml:space="preserve"> and must not be </w:t>
      </w:r>
      <w:r w:rsidR="00613D25">
        <w:t>visible</w:t>
      </w:r>
      <w:r w:rsidR="00D8047A">
        <w:t xml:space="preserve"> beyond the reserve.</w:t>
      </w:r>
    </w:p>
    <w:p w:rsidR="000158BA" w:rsidRPr="00391FB0" w:rsidRDefault="000158BA" w:rsidP="000158BA">
      <w:pPr>
        <w:pStyle w:val="SummaryPoints"/>
      </w:pPr>
      <w:r>
        <w:t xml:space="preserve">Signage on </w:t>
      </w:r>
      <w:r w:rsidR="00D8047A">
        <w:t xml:space="preserve">cricket </w:t>
      </w:r>
      <w:r>
        <w:t xml:space="preserve">practice nets is limited to two </w:t>
      </w:r>
      <w:r w:rsidR="00CA45D1">
        <w:t xml:space="preserve">(2) </w:t>
      </w:r>
      <w:r>
        <w:t>sign</w:t>
      </w:r>
      <w:r w:rsidR="00CA45D1">
        <w:t>s</w:t>
      </w:r>
      <w:r w:rsidR="00A80B71">
        <w:t xml:space="preserve"> per net</w:t>
      </w:r>
      <w:r>
        <w:t xml:space="preserve"> being no greater </w:t>
      </w:r>
      <w:r w:rsidRPr="00391FB0">
        <w:t xml:space="preserve">than </w:t>
      </w:r>
      <w:r w:rsidR="00954DC2" w:rsidRPr="00391FB0">
        <w:rPr>
          <w:rFonts w:cs="Arial"/>
          <w:szCs w:val="22"/>
          <w:lang w:val="en-US"/>
        </w:rPr>
        <w:t xml:space="preserve">1 </w:t>
      </w:r>
      <w:r w:rsidR="00954DC2" w:rsidRPr="00391FB0">
        <w:rPr>
          <w:rFonts w:cs="Arial"/>
          <w:szCs w:val="22"/>
        </w:rPr>
        <w:t>metre</w:t>
      </w:r>
      <w:r w:rsidR="00954DC2" w:rsidRPr="00391FB0">
        <w:rPr>
          <w:rFonts w:cs="Arial"/>
          <w:szCs w:val="22"/>
          <w:lang w:val="en-US"/>
        </w:rPr>
        <w:t xml:space="preserve"> x 1 metre </w:t>
      </w:r>
      <w:r w:rsidRPr="00391FB0">
        <w:t>per sign.</w:t>
      </w:r>
      <w:r w:rsidR="00CA45D1" w:rsidRPr="00391FB0">
        <w:t xml:space="preserve"> Consideration must be given to the practice net footings as signage increases the wind loading on the fencing.</w:t>
      </w:r>
    </w:p>
    <w:p w:rsidR="00391FB0" w:rsidRDefault="00D8047A" w:rsidP="000158BA">
      <w:pPr>
        <w:pStyle w:val="SummaryPoints"/>
      </w:pPr>
      <w:r w:rsidRPr="00391FB0">
        <w:t>For tennis</w:t>
      </w:r>
      <w:r w:rsidR="00273262" w:rsidRPr="00391FB0">
        <w:t>, netball and other fenced</w:t>
      </w:r>
      <w:r w:rsidRPr="00391FB0">
        <w:t xml:space="preserve"> court facilities, signage </w:t>
      </w:r>
      <w:r w:rsidRPr="00391FB0">
        <w:rPr>
          <w:szCs w:val="22"/>
        </w:rPr>
        <w:t xml:space="preserve">should </w:t>
      </w:r>
      <w:r w:rsidRPr="00391FB0">
        <w:rPr>
          <w:rFonts w:cs="Arial"/>
          <w:szCs w:val="22"/>
          <w:lang w:val="en-US"/>
        </w:rPr>
        <w:t>face inwards</w:t>
      </w:r>
      <w:r w:rsidRPr="00391FB0">
        <w:rPr>
          <w:rFonts w:cs="Arial"/>
          <w:sz w:val="20"/>
          <w:lang w:val="en-US"/>
        </w:rPr>
        <w:t xml:space="preserve"> </w:t>
      </w:r>
      <w:r w:rsidRPr="00391FB0">
        <w:rPr>
          <w:rFonts w:cs="Arial"/>
          <w:szCs w:val="22"/>
          <w:lang w:val="en-US"/>
        </w:rPr>
        <w:t xml:space="preserve">towards the playing area.  Signage should be installed so that top edge of the signage is less than 1.8 metres off the court surface. Signage on tennis court fencing is limited to two (2) signs per court being no greater than 1 </w:t>
      </w:r>
      <w:r w:rsidRPr="00391FB0">
        <w:rPr>
          <w:rFonts w:cs="Arial"/>
          <w:szCs w:val="22"/>
        </w:rPr>
        <w:t>metre</w:t>
      </w:r>
      <w:r w:rsidRPr="00391FB0">
        <w:rPr>
          <w:rFonts w:cs="Arial"/>
          <w:szCs w:val="22"/>
          <w:lang w:val="en-US"/>
        </w:rPr>
        <w:t xml:space="preserve"> x 1 metre per sign.</w:t>
      </w:r>
      <w:r w:rsidRPr="00391FB0">
        <w:t xml:space="preserve"> Consideration must be given to the </w:t>
      </w:r>
      <w:r w:rsidR="00954DC2" w:rsidRPr="00391FB0">
        <w:t xml:space="preserve">fence </w:t>
      </w:r>
      <w:r w:rsidRPr="00391FB0">
        <w:t>footings as signage increases the wind loading on the fencing.</w:t>
      </w:r>
    </w:p>
    <w:p w:rsidR="0016319E" w:rsidRPr="00391FB0" w:rsidRDefault="00954DC2" w:rsidP="000158BA">
      <w:pPr>
        <w:pStyle w:val="SummaryPoints"/>
      </w:pPr>
      <w:r w:rsidRPr="00391FB0">
        <w:t>Clubs</w:t>
      </w:r>
      <w:r w:rsidR="0016319E" w:rsidRPr="00391FB0">
        <w:t xml:space="preserve"> must </w:t>
      </w:r>
      <w:r w:rsidRPr="00391FB0">
        <w:t xml:space="preserve">be able to remove all signs on request </w:t>
      </w:r>
      <w:r w:rsidR="00186313" w:rsidRPr="00391FB0">
        <w:t>to deliver a clean venue</w:t>
      </w:r>
      <w:r w:rsidR="0016319E" w:rsidRPr="00391FB0">
        <w:t xml:space="preserve"> </w:t>
      </w:r>
      <w:r w:rsidRPr="00391FB0">
        <w:t>for Council managed or controlled events.</w:t>
      </w:r>
      <w:r w:rsidR="0016319E" w:rsidRPr="00391FB0">
        <w:t xml:space="preserve"> </w:t>
      </w:r>
    </w:p>
    <w:p w:rsidR="000158BA" w:rsidRDefault="000158BA" w:rsidP="000158BA">
      <w:pPr>
        <w:pStyle w:val="SummaryPoints"/>
      </w:pPr>
      <w:r>
        <w:t xml:space="preserve">Signs must not be painted directly onto the walls or the roof of any facility, building or structure on the reserve. </w:t>
      </w:r>
    </w:p>
    <w:p w:rsidR="000158BA" w:rsidRDefault="000158BA" w:rsidP="000158BA">
      <w:pPr>
        <w:pStyle w:val="SummaryPoints"/>
      </w:pPr>
      <w:r>
        <w:t>A copy of the layout (including colour scheme) and the wording of the proposed advertising sign is to be submitted as part of the approval process.</w:t>
      </w:r>
    </w:p>
    <w:p w:rsidR="000158BA" w:rsidRDefault="000158BA" w:rsidP="000158BA">
      <w:pPr>
        <w:pStyle w:val="SummaryPoints"/>
      </w:pPr>
      <w:r>
        <w:t xml:space="preserve">The signs must </w:t>
      </w:r>
      <w:r w:rsidR="00D8047A">
        <w:t xml:space="preserve">be appropriate for a public reserve and </w:t>
      </w:r>
      <w:r>
        <w:t xml:space="preserve">not in anyway be offensive or discriminate on grounds of race, </w:t>
      </w:r>
      <w:r w:rsidR="001D0046">
        <w:t xml:space="preserve">gender </w:t>
      </w:r>
      <w:r>
        <w:t>or religion.</w:t>
      </w:r>
    </w:p>
    <w:p w:rsidR="009F0D48" w:rsidRDefault="009F0D48" w:rsidP="000158BA">
      <w:pPr>
        <w:pStyle w:val="SummaryPoints"/>
      </w:pPr>
      <w:r>
        <w:t>All signs must acknowledge the name of the club being sponsored.</w:t>
      </w:r>
    </w:p>
    <w:p w:rsidR="00723B7B" w:rsidRPr="00E34CE8" w:rsidRDefault="0016319E" w:rsidP="000E2656">
      <w:pPr>
        <w:pStyle w:val="SummaryPoints"/>
        <w:rPr>
          <w:u w:val="single"/>
        </w:rPr>
      </w:pPr>
      <w:r w:rsidRPr="00391FB0">
        <w:t>Signs must be oriented to display inward</w:t>
      </w:r>
      <w:r w:rsidR="009F0D48" w:rsidRPr="00391FB0">
        <w:t xml:space="preserve"> to the reserve users and not positioned to </w:t>
      </w:r>
      <w:r w:rsidR="00186313" w:rsidRPr="00391FB0">
        <w:t>be viewed by passing traffic</w:t>
      </w:r>
      <w:r w:rsidR="00D8047A" w:rsidRPr="00391FB0">
        <w:t xml:space="preserve"> or people beyond the reserve</w:t>
      </w:r>
      <w:r w:rsidR="00186313" w:rsidRPr="00391FB0">
        <w:t>.</w:t>
      </w:r>
      <w:r w:rsidR="00AD22A2" w:rsidRPr="00391FB0">
        <w:t xml:space="preserve"> </w:t>
      </w:r>
      <w:r w:rsidR="00723B7B" w:rsidRPr="00391FB0">
        <w:t>Sporting clubs are not entitled to enter into commercial agreements to alter venue names or install signage pertaining to the naming of a reserve on a permanent basis.</w:t>
      </w:r>
    </w:p>
    <w:p w:rsidR="00E34CE8" w:rsidRPr="000E2656" w:rsidRDefault="00E34CE8" w:rsidP="000E2656">
      <w:pPr>
        <w:pStyle w:val="SummaryPoints"/>
        <w:rPr>
          <w:u w:val="single"/>
        </w:rPr>
      </w:pPr>
      <w:r>
        <w:t>Sports grounds may be temporarily renamed in connection with a sponsorship agreement under the conditions outlined in section 5.4 of this policy.</w:t>
      </w:r>
    </w:p>
    <w:p w:rsidR="000158BA" w:rsidRDefault="00CA45D1" w:rsidP="000E2656">
      <w:pPr>
        <w:pStyle w:val="NumberedPara1"/>
        <w:numPr>
          <w:ilvl w:val="0"/>
          <w:numId w:val="0"/>
        </w:numPr>
        <w:ind w:left="397"/>
      </w:pPr>
      <w:r>
        <w:t xml:space="preserve">5.2. </w:t>
      </w:r>
      <w:r w:rsidR="000158BA">
        <w:t>Planning Permits</w:t>
      </w:r>
    </w:p>
    <w:p w:rsidR="002352A0" w:rsidRPr="00391FB0" w:rsidRDefault="002352A0" w:rsidP="00CA45D1">
      <w:pPr>
        <w:pStyle w:val="NumberedPara1"/>
        <w:numPr>
          <w:ilvl w:val="0"/>
          <w:numId w:val="0"/>
        </w:numPr>
        <w:ind w:left="397"/>
        <w:rPr>
          <w:sz w:val="22"/>
          <w:szCs w:val="22"/>
        </w:rPr>
      </w:pPr>
      <w:r w:rsidRPr="00391FB0">
        <w:rPr>
          <w:sz w:val="22"/>
          <w:szCs w:val="22"/>
        </w:rPr>
        <w:t>PPRZ is considered a sensitive area under the planning scheme.</w:t>
      </w:r>
    </w:p>
    <w:p w:rsidR="002352A0" w:rsidRDefault="002352A0" w:rsidP="00AD22A2">
      <w:pPr>
        <w:pStyle w:val="NormalIndent1"/>
        <w:ind w:left="397"/>
      </w:pPr>
      <w:r>
        <w:t>A permit is required</w:t>
      </w:r>
      <w:r w:rsidR="00187D52">
        <w:t xml:space="preserve"> for</w:t>
      </w:r>
      <w:r>
        <w:t>:</w:t>
      </w:r>
    </w:p>
    <w:p w:rsidR="002352A0" w:rsidRDefault="002352A0" w:rsidP="00187D52">
      <w:pPr>
        <w:pStyle w:val="Sumpoint2"/>
      </w:pPr>
      <w:r>
        <w:t xml:space="preserve">Business identification signage </w:t>
      </w:r>
    </w:p>
    <w:p w:rsidR="00273262" w:rsidRDefault="00273262" w:rsidP="00CA45D1">
      <w:pPr>
        <w:pStyle w:val="NumberedPara1"/>
        <w:numPr>
          <w:ilvl w:val="0"/>
          <w:numId w:val="0"/>
        </w:numPr>
        <w:ind w:left="397"/>
      </w:pPr>
    </w:p>
    <w:p w:rsidR="007A4534" w:rsidRDefault="007A4534" w:rsidP="00CA45D1">
      <w:pPr>
        <w:pStyle w:val="NumberedPara1"/>
        <w:numPr>
          <w:ilvl w:val="0"/>
          <w:numId w:val="0"/>
        </w:numPr>
        <w:ind w:left="397"/>
      </w:pPr>
    </w:p>
    <w:p w:rsidR="000158BA" w:rsidRDefault="000158BA" w:rsidP="00AD22A2">
      <w:pPr>
        <w:pStyle w:val="NormalIndent1"/>
        <w:ind w:left="397"/>
      </w:pPr>
      <w:r>
        <w:t>A Planning Permit is not required when signage is:</w:t>
      </w:r>
    </w:p>
    <w:p w:rsidR="000158BA" w:rsidRDefault="000158BA" w:rsidP="000158BA">
      <w:pPr>
        <w:pStyle w:val="Sumpoint2"/>
      </w:pPr>
      <w:r>
        <w:t xml:space="preserve">Sited around the </w:t>
      </w:r>
      <w:r w:rsidR="00D8047A">
        <w:t xml:space="preserve">sports </w:t>
      </w:r>
      <w:r>
        <w:t>oval</w:t>
      </w:r>
      <w:r w:rsidR="00D8047A">
        <w:t>/court</w:t>
      </w:r>
      <w:r>
        <w:t xml:space="preserve"> fencing (on the actual fence itself);</w:t>
      </w:r>
    </w:p>
    <w:p w:rsidR="000158BA" w:rsidRDefault="000158BA" w:rsidP="000158BA">
      <w:pPr>
        <w:pStyle w:val="Sumpoint2"/>
      </w:pPr>
      <w:r>
        <w:t>Orientated toward the playing field</w:t>
      </w:r>
      <w:r w:rsidR="00D8047A">
        <w:t>/court</w:t>
      </w:r>
      <w:r>
        <w:t>;</w:t>
      </w:r>
    </w:p>
    <w:p w:rsidR="003B0D03" w:rsidRDefault="003B0D03" w:rsidP="00187D52">
      <w:pPr>
        <w:pStyle w:val="Sumpoint2"/>
      </w:pPr>
      <w:r>
        <w:t xml:space="preserve">A sign </w:t>
      </w:r>
      <w:r w:rsidRPr="003B0D03">
        <w:t>publicising a local</w:t>
      </w:r>
      <w:r>
        <w:t xml:space="preserve"> </w:t>
      </w:r>
      <w:r w:rsidRPr="003B0D03">
        <w:t>educational, cultural, political, religious, social or recreational event not held for</w:t>
      </w:r>
      <w:r>
        <w:t xml:space="preserve"> </w:t>
      </w:r>
      <w:r w:rsidRPr="003B0D03">
        <w:t>commercial purposes</w:t>
      </w:r>
      <w:r w:rsidR="00723B7B">
        <w:t>.</w:t>
      </w:r>
    </w:p>
    <w:p w:rsidR="000158BA" w:rsidRDefault="00CA45D1" w:rsidP="00CA45D1">
      <w:pPr>
        <w:pStyle w:val="NumberedPara1"/>
        <w:numPr>
          <w:ilvl w:val="0"/>
          <w:numId w:val="0"/>
        </w:numPr>
        <w:ind w:left="397"/>
      </w:pPr>
      <w:r>
        <w:t xml:space="preserve">5.3. </w:t>
      </w:r>
      <w:r w:rsidR="000158BA">
        <w:t>Installation Conditions</w:t>
      </w:r>
    </w:p>
    <w:p w:rsidR="000158BA" w:rsidRDefault="000158BA" w:rsidP="000158BA">
      <w:pPr>
        <w:pStyle w:val="SummaryPoints"/>
      </w:pPr>
      <w:r>
        <w:t>A Building Permit from an appropriately qualified registered Building Practitioner is required for all freestanding signs on reserves</w:t>
      </w:r>
      <w:r w:rsidR="00D8047A">
        <w:t xml:space="preserve"> (where approved)</w:t>
      </w:r>
      <w:r>
        <w:t>.</w:t>
      </w:r>
    </w:p>
    <w:p w:rsidR="000158BA" w:rsidRDefault="000158BA" w:rsidP="000158BA">
      <w:pPr>
        <w:pStyle w:val="SummaryPoints"/>
      </w:pPr>
      <w:r>
        <w:t xml:space="preserve">Freestanding signs must be erected by an approved contractor.  </w:t>
      </w:r>
    </w:p>
    <w:p w:rsidR="00A80B71" w:rsidRDefault="00A80B71" w:rsidP="000158BA">
      <w:pPr>
        <w:pStyle w:val="SummaryPoints"/>
      </w:pPr>
      <w:r>
        <w:t>Signs are considered assets of the Club and must be maintained and inspected by the club on a regular basis to ensure that they are fit for a public reserve and represent no danger to the public.</w:t>
      </w:r>
    </w:p>
    <w:p w:rsidR="000158BA" w:rsidRDefault="000158BA" w:rsidP="00A80B71">
      <w:pPr>
        <w:pStyle w:val="SummaryPoints"/>
      </w:pPr>
      <w:r>
        <w:t xml:space="preserve">If the signs are considered unsafe, they will be removed at the club’s cost and the </w:t>
      </w:r>
      <w:r w:rsidR="00CA45D1">
        <w:t xml:space="preserve">City </w:t>
      </w:r>
      <w:r>
        <w:t>will advise the club of its action.  The relevant Council officer(s) will enter into discussions to be satisfied of safety issues prior to re-installing the signs.</w:t>
      </w:r>
    </w:p>
    <w:p w:rsidR="000158BA" w:rsidRDefault="000158BA" w:rsidP="000158BA">
      <w:pPr>
        <w:pStyle w:val="SummaryPoints"/>
      </w:pPr>
      <w:r>
        <w:t xml:space="preserve">Approval is given for a six-month period commencing from the first day of the sporting club’s season, </w:t>
      </w:r>
      <w:r w:rsidR="00613D25">
        <w:t>i.e.</w:t>
      </w:r>
      <w:r>
        <w:t>, 1 October or 1 April each year.  Requests for extensions to this timeline must be approved.  This is to ensure that where a site is co-tenanted that the major season user is given first priority to siting of advertising/sponsorship boards.</w:t>
      </w:r>
    </w:p>
    <w:p w:rsidR="000158BA" w:rsidRDefault="000158BA" w:rsidP="000158BA">
      <w:pPr>
        <w:pStyle w:val="SummaryPoints"/>
      </w:pPr>
      <w:r>
        <w:t>Sponsorship signage agreements between clubs and their sponsors must be for the playing season only.  This is to allow the seasonal user prime siting of their sponsors’ signage.</w:t>
      </w:r>
    </w:p>
    <w:p w:rsidR="000158BA" w:rsidRDefault="000158BA" w:rsidP="000158BA">
      <w:pPr>
        <w:pStyle w:val="SummaryPoints"/>
      </w:pPr>
      <w:r>
        <w:t>Where there is no shared sponsorship agreement between the seasonal tenants, signs must be taken down by the club at the end of the season, otherwise the City will arrange for removal and associated costs will be charged to the club.</w:t>
      </w:r>
    </w:p>
    <w:p w:rsidR="000E2656" w:rsidRDefault="003E26AF" w:rsidP="00E34CE8">
      <w:pPr>
        <w:pStyle w:val="SummaryPoints"/>
      </w:pPr>
      <w:r>
        <w:t xml:space="preserve">Business location signs must not carry the logo of associated sponsors. </w:t>
      </w:r>
    </w:p>
    <w:p w:rsidR="000E2656" w:rsidRDefault="000E2656" w:rsidP="000E2656">
      <w:pPr>
        <w:pStyle w:val="NumberedPara1"/>
        <w:numPr>
          <w:ilvl w:val="0"/>
          <w:numId w:val="0"/>
        </w:numPr>
        <w:ind w:left="397"/>
      </w:pPr>
      <w:r>
        <w:t>5.4. Temporary Renaming of Sports Grounds</w:t>
      </w:r>
    </w:p>
    <w:p w:rsidR="000E2656" w:rsidRDefault="000E2656" w:rsidP="000E2656">
      <w:pPr>
        <w:pStyle w:val="SummaryPoints"/>
        <w:numPr>
          <w:ilvl w:val="0"/>
          <w:numId w:val="0"/>
        </w:numPr>
        <w:spacing w:after="0"/>
        <w:ind w:left="794" w:hanging="397"/>
      </w:pPr>
      <w:r>
        <w:t>Sporting clubs may apply for conditional approval to temporarily rename sports grounds</w:t>
      </w:r>
    </w:p>
    <w:p w:rsidR="000E2656" w:rsidRDefault="000E2656" w:rsidP="000E2656">
      <w:pPr>
        <w:pStyle w:val="SummaryPoints"/>
        <w:numPr>
          <w:ilvl w:val="0"/>
          <w:numId w:val="0"/>
        </w:numPr>
        <w:spacing w:after="0"/>
        <w:ind w:left="397"/>
      </w:pPr>
      <w:r>
        <w:t>on Council owned and/or managed reserves in connection with sponsorship naming rights on the following conditions:</w:t>
      </w:r>
    </w:p>
    <w:p w:rsidR="000E2656" w:rsidRDefault="000E2656" w:rsidP="000E2656">
      <w:pPr>
        <w:pStyle w:val="SummaryPoints"/>
        <w:numPr>
          <w:ilvl w:val="0"/>
          <w:numId w:val="0"/>
        </w:numPr>
        <w:spacing w:after="0"/>
        <w:ind w:left="794" w:hanging="397"/>
      </w:pPr>
    </w:p>
    <w:p w:rsidR="000E2656" w:rsidRPr="000E2656" w:rsidRDefault="000E2656" w:rsidP="000E2656">
      <w:pPr>
        <w:pStyle w:val="SummaryPoints"/>
      </w:pPr>
      <w:r w:rsidRPr="000E2656">
        <w:t>Naming rights are limited to sports grounds only;</w:t>
      </w:r>
    </w:p>
    <w:p w:rsidR="000E2656" w:rsidRPr="000E2656" w:rsidRDefault="000E2656" w:rsidP="000E2656">
      <w:pPr>
        <w:pStyle w:val="SummaryPoints"/>
      </w:pPr>
      <w:r>
        <w:t>The naming rights sponsor should be the c</w:t>
      </w:r>
      <w:r w:rsidRPr="000E2656">
        <w:t>lub’s top tier sponsor;</w:t>
      </w:r>
    </w:p>
    <w:p w:rsidR="000E2656" w:rsidRPr="000E2656" w:rsidRDefault="000E2656" w:rsidP="000E2656">
      <w:pPr>
        <w:pStyle w:val="SummaryPoints"/>
      </w:pPr>
      <w:r w:rsidRPr="000E2656">
        <w:t>The term of the sponsorship is limited to the term of the club’s licence/lease agreement over the sports ground;</w:t>
      </w:r>
    </w:p>
    <w:p w:rsidR="000E2656" w:rsidRPr="000E2656" w:rsidRDefault="000E2656" w:rsidP="000E2656">
      <w:pPr>
        <w:pStyle w:val="SummaryPoints"/>
      </w:pPr>
      <w:r w:rsidRPr="000E2656">
        <w:t>The proposed name of the sports ground should not be offensive or discriminatory in any way;</w:t>
      </w:r>
    </w:p>
    <w:p w:rsidR="000E2656" w:rsidRPr="000E2656" w:rsidRDefault="000E2656" w:rsidP="000E2656">
      <w:pPr>
        <w:pStyle w:val="SummaryPoints"/>
      </w:pPr>
      <w:r w:rsidRPr="000E2656">
        <w:t>Funds raised are allocated to sports development or facility development, and are specifically not permitted to be allocated to player payments;</w:t>
      </w:r>
    </w:p>
    <w:p w:rsidR="000E2656" w:rsidRPr="000E2656" w:rsidRDefault="000E2656" w:rsidP="000E2656">
      <w:pPr>
        <w:pStyle w:val="SummaryPoints"/>
      </w:pPr>
      <w:r w:rsidRPr="000E2656">
        <w:t>All tenants that use the renamed sports ground during the period of the sponsorship share in the proceeds;</w:t>
      </w:r>
    </w:p>
    <w:p w:rsidR="000E2656" w:rsidRPr="000E2656" w:rsidRDefault="000E2656" w:rsidP="000E2656">
      <w:pPr>
        <w:pStyle w:val="SummaryPoints"/>
      </w:pPr>
      <w:r w:rsidRPr="000E2656">
        <w:lastRenderedPageBreak/>
        <w:t>The proposed sponsor is not associated with alcohol, cigarettes (including tobacco products) or gambling;</w:t>
      </w:r>
    </w:p>
    <w:p w:rsidR="000E2656" w:rsidRPr="000E2656" w:rsidRDefault="000E2656" w:rsidP="000E2656">
      <w:pPr>
        <w:pStyle w:val="SummaryPoints"/>
      </w:pPr>
      <w:r w:rsidRPr="000E2656">
        <w:t>The sports ground is only referred to by the approved ‘sponsored name’ in club, association, competition or league promotions and marketing only;</w:t>
      </w:r>
    </w:p>
    <w:p w:rsidR="000E2656" w:rsidRPr="000E2656" w:rsidRDefault="000E2656" w:rsidP="000E2656">
      <w:pPr>
        <w:pStyle w:val="SummaryPoints"/>
      </w:pPr>
      <w:r w:rsidRPr="000E2656">
        <w:t>Any signage installed must meet Councils Recreation Reserve Advertising Signage Policy and be approved by Council; and</w:t>
      </w:r>
    </w:p>
    <w:p w:rsidR="000E2656" w:rsidRPr="000E2656" w:rsidRDefault="000E2656" w:rsidP="000E2656">
      <w:pPr>
        <w:pStyle w:val="SummaryPoints"/>
      </w:pPr>
      <w:r w:rsidRPr="000E2656">
        <w:t>The terms of the temporary renaming of a sports ground may be reviewed by Council at any time.</w:t>
      </w:r>
    </w:p>
    <w:p w:rsidR="000E2656" w:rsidRDefault="000E2656" w:rsidP="000E2656">
      <w:pPr>
        <w:pStyle w:val="SummaryPoints"/>
        <w:numPr>
          <w:ilvl w:val="0"/>
          <w:numId w:val="0"/>
        </w:numPr>
        <w:ind w:left="794" w:hanging="397"/>
      </w:pPr>
    </w:p>
    <w:p w:rsidR="000158BA" w:rsidRDefault="000158BA" w:rsidP="000158BA"/>
    <w:p w:rsidR="000158BA" w:rsidRPr="00326EB5" w:rsidRDefault="00326EB5" w:rsidP="00326EB5">
      <w:pPr>
        <w:pStyle w:val="Header"/>
        <w:tabs>
          <w:tab w:val="left" w:pos="426"/>
        </w:tabs>
        <w:rPr>
          <w:b/>
          <w:color w:val="auto"/>
          <w:sz w:val="24"/>
          <w:lang w:val="en-AU"/>
        </w:rPr>
      </w:pPr>
      <w:r>
        <w:rPr>
          <w:b/>
          <w:color w:val="auto"/>
          <w:sz w:val="24"/>
          <w:lang w:val="en-AU"/>
        </w:rPr>
        <w:t>6.</w:t>
      </w:r>
      <w:r>
        <w:rPr>
          <w:b/>
          <w:color w:val="auto"/>
          <w:sz w:val="24"/>
          <w:lang w:val="en-AU"/>
        </w:rPr>
        <w:tab/>
      </w:r>
      <w:r w:rsidR="000158BA" w:rsidRPr="00326EB5">
        <w:rPr>
          <w:b/>
          <w:color w:val="auto"/>
          <w:sz w:val="24"/>
          <w:lang w:val="en-AU"/>
        </w:rPr>
        <w:t>QUALITY RECORDS</w:t>
      </w:r>
    </w:p>
    <w:p w:rsidR="000158BA" w:rsidRDefault="000158BA" w:rsidP="000158BA">
      <w:pPr>
        <w:pStyle w:val="OfficerFile"/>
      </w:pPr>
      <w:r>
        <w:t>Quality Records shall be retained for at least the period shown below.</w:t>
      </w:r>
    </w:p>
    <w:p w:rsidR="000158BA" w:rsidRDefault="000158BA" w:rsidP="000158BA"/>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552"/>
        <w:gridCol w:w="1843"/>
        <w:gridCol w:w="2126"/>
      </w:tblGrid>
      <w:tr w:rsidR="000158BA">
        <w:tc>
          <w:tcPr>
            <w:tcW w:w="2835" w:type="dxa"/>
          </w:tcPr>
          <w:p w:rsidR="000158BA" w:rsidRDefault="000158BA" w:rsidP="0054778A">
            <w:pPr>
              <w:rPr>
                <w:b/>
              </w:rPr>
            </w:pPr>
            <w:r>
              <w:rPr>
                <w:b/>
              </w:rPr>
              <w:t>Record</w:t>
            </w:r>
          </w:p>
        </w:tc>
        <w:tc>
          <w:tcPr>
            <w:tcW w:w="2552" w:type="dxa"/>
          </w:tcPr>
          <w:p w:rsidR="000158BA" w:rsidRDefault="000158BA" w:rsidP="0054778A">
            <w:pPr>
              <w:rPr>
                <w:b/>
              </w:rPr>
            </w:pPr>
            <w:r>
              <w:rPr>
                <w:b/>
              </w:rPr>
              <w:t>Retention/Disposal Responsibility</w:t>
            </w:r>
          </w:p>
        </w:tc>
        <w:tc>
          <w:tcPr>
            <w:tcW w:w="1843" w:type="dxa"/>
          </w:tcPr>
          <w:p w:rsidR="000158BA" w:rsidRDefault="000158BA" w:rsidP="0054778A">
            <w:pPr>
              <w:rPr>
                <w:b/>
              </w:rPr>
            </w:pPr>
            <w:r>
              <w:rPr>
                <w:b/>
              </w:rPr>
              <w:t>Retention Period</w:t>
            </w:r>
          </w:p>
        </w:tc>
        <w:tc>
          <w:tcPr>
            <w:tcW w:w="2126" w:type="dxa"/>
          </w:tcPr>
          <w:p w:rsidR="000158BA" w:rsidRDefault="000158BA" w:rsidP="0054778A">
            <w:pPr>
              <w:tabs>
                <w:tab w:val="left" w:pos="1735"/>
              </w:tabs>
              <w:rPr>
                <w:b/>
              </w:rPr>
            </w:pPr>
            <w:r>
              <w:rPr>
                <w:b/>
              </w:rPr>
              <w:t>Location</w:t>
            </w:r>
          </w:p>
        </w:tc>
      </w:tr>
      <w:tr w:rsidR="000158BA">
        <w:tc>
          <w:tcPr>
            <w:tcW w:w="2835" w:type="dxa"/>
          </w:tcPr>
          <w:p w:rsidR="000158BA" w:rsidRDefault="000158BA" w:rsidP="0054778A">
            <w:r>
              <w:t>Letter of approval</w:t>
            </w:r>
          </w:p>
        </w:tc>
        <w:tc>
          <w:tcPr>
            <w:tcW w:w="2552" w:type="dxa"/>
          </w:tcPr>
          <w:p w:rsidR="000158BA" w:rsidRDefault="000158BA" w:rsidP="0054778A">
            <w:r>
              <w:t>Corporate Records</w:t>
            </w:r>
          </w:p>
        </w:tc>
        <w:tc>
          <w:tcPr>
            <w:tcW w:w="1843" w:type="dxa"/>
          </w:tcPr>
          <w:p w:rsidR="000158BA" w:rsidRDefault="000158BA" w:rsidP="0054778A">
            <w:r>
              <w:t>Permanent</w:t>
            </w:r>
          </w:p>
        </w:tc>
        <w:tc>
          <w:tcPr>
            <w:tcW w:w="2126" w:type="dxa"/>
          </w:tcPr>
          <w:p w:rsidR="000158BA" w:rsidRDefault="000158BA" w:rsidP="0054778A">
            <w:r>
              <w:t>Corporate Records</w:t>
            </w:r>
          </w:p>
        </w:tc>
      </w:tr>
      <w:tr w:rsidR="000158BA">
        <w:tc>
          <w:tcPr>
            <w:tcW w:w="2835" w:type="dxa"/>
          </w:tcPr>
          <w:p w:rsidR="000158BA" w:rsidRDefault="000158BA" w:rsidP="0054778A">
            <w:pPr>
              <w:rPr>
                <w:lang w:val="en-AU"/>
              </w:rPr>
            </w:pPr>
            <w:r>
              <w:rPr>
                <w:lang w:val="en-AU"/>
              </w:rPr>
              <w:t>Building Permit (freestanding signs)</w:t>
            </w:r>
          </w:p>
        </w:tc>
        <w:tc>
          <w:tcPr>
            <w:tcW w:w="2552" w:type="dxa"/>
          </w:tcPr>
          <w:p w:rsidR="000158BA" w:rsidRDefault="000158BA" w:rsidP="0054778A">
            <w:r>
              <w:t>Corporate Records</w:t>
            </w:r>
          </w:p>
        </w:tc>
        <w:tc>
          <w:tcPr>
            <w:tcW w:w="1843" w:type="dxa"/>
          </w:tcPr>
          <w:p w:rsidR="000158BA" w:rsidRDefault="000158BA" w:rsidP="0054778A">
            <w:r>
              <w:t>Permanent</w:t>
            </w:r>
          </w:p>
        </w:tc>
        <w:tc>
          <w:tcPr>
            <w:tcW w:w="2126" w:type="dxa"/>
          </w:tcPr>
          <w:p w:rsidR="000158BA" w:rsidRDefault="000158BA" w:rsidP="0054778A">
            <w:r>
              <w:t>Corporate Records</w:t>
            </w:r>
          </w:p>
        </w:tc>
      </w:tr>
      <w:tr w:rsidR="000158BA">
        <w:tc>
          <w:tcPr>
            <w:tcW w:w="2835" w:type="dxa"/>
          </w:tcPr>
          <w:p w:rsidR="000158BA" w:rsidRDefault="000158BA" w:rsidP="0054778A">
            <w:pPr>
              <w:rPr>
                <w:lang w:val="en-AU"/>
              </w:rPr>
            </w:pPr>
            <w:r>
              <w:rPr>
                <w:lang w:val="en-AU"/>
              </w:rPr>
              <w:t>Planning Permit (where required)</w:t>
            </w:r>
          </w:p>
        </w:tc>
        <w:tc>
          <w:tcPr>
            <w:tcW w:w="2552" w:type="dxa"/>
          </w:tcPr>
          <w:p w:rsidR="000158BA" w:rsidRDefault="000158BA" w:rsidP="0054778A">
            <w:r>
              <w:t>Corporate Records</w:t>
            </w:r>
          </w:p>
        </w:tc>
        <w:tc>
          <w:tcPr>
            <w:tcW w:w="1843" w:type="dxa"/>
          </w:tcPr>
          <w:p w:rsidR="000158BA" w:rsidRDefault="000158BA" w:rsidP="0054778A">
            <w:r>
              <w:t>Permanent</w:t>
            </w:r>
          </w:p>
        </w:tc>
        <w:tc>
          <w:tcPr>
            <w:tcW w:w="2126" w:type="dxa"/>
          </w:tcPr>
          <w:p w:rsidR="000158BA" w:rsidRDefault="000158BA" w:rsidP="0054778A">
            <w:r>
              <w:t>Corporate Records</w:t>
            </w:r>
          </w:p>
        </w:tc>
      </w:tr>
    </w:tbl>
    <w:p w:rsidR="000158BA" w:rsidRDefault="000158BA" w:rsidP="000158BA">
      <w:pPr>
        <w:tabs>
          <w:tab w:val="left" w:pos="709"/>
        </w:tabs>
      </w:pPr>
    </w:p>
    <w:p w:rsidR="000158BA" w:rsidRPr="00326EB5" w:rsidRDefault="00326EB5" w:rsidP="00326EB5">
      <w:pPr>
        <w:pStyle w:val="Header"/>
        <w:tabs>
          <w:tab w:val="left" w:pos="426"/>
        </w:tabs>
        <w:rPr>
          <w:b/>
          <w:color w:val="auto"/>
          <w:sz w:val="24"/>
          <w:lang w:val="en-AU"/>
        </w:rPr>
      </w:pPr>
      <w:r>
        <w:rPr>
          <w:b/>
          <w:color w:val="auto"/>
          <w:sz w:val="24"/>
          <w:lang w:val="en-AU"/>
        </w:rPr>
        <w:t>7.</w:t>
      </w:r>
      <w:r>
        <w:rPr>
          <w:b/>
          <w:color w:val="auto"/>
          <w:sz w:val="24"/>
          <w:lang w:val="en-AU"/>
        </w:rPr>
        <w:tab/>
      </w:r>
      <w:r w:rsidR="000158BA" w:rsidRPr="00326EB5">
        <w:rPr>
          <w:b/>
          <w:color w:val="auto"/>
          <w:sz w:val="24"/>
          <w:lang w:val="en-AU"/>
        </w:rPr>
        <w:t>ATTACHMENTS</w:t>
      </w:r>
    </w:p>
    <w:p w:rsidR="000158BA" w:rsidRDefault="000158BA" w:rsidP="000158BA">
      <w:pPr>
        <w:pStyle w:val="SumPoint"/>
      </w:pPr>
      <w:r>
        <w:t>Nil</w:t>
      </w:r>
    </w:p>
    <w:p w:rsidR="000158BA" w:rsidRDefault="000158BA" w:rsidP="000158BA"/>
    <w:p w:rsidR="00EE4A7D" w:rsidRDefault="00EE4A7D"/>
    <w:sectPr w:rsidR="00EE4A7D" w:rsidSect="00055B27">
      <w:headerReference w:type="default" r:id="rId10"/>
      <w:footerReference w:type="default" r:id="rId11"/>
      <w:pgSz w:w="11907" w:h="16840" w:code="9"/>
      <w:pgMar w:top="1382" w:right="1418" w:bottom="709" w:left="1418" w:header="720" w:footer="42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574" w:rsidRDefault="00895574">
      <w:r>
        <w:separator/>
      </w:r>
    </w:p>
  </w:endnote>
  <w:endnote w:type="continuationSeparator" w:id="0">
    <w:p w:rsidR="00895574" w:rsidRDefault="00895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A0" w:rsidRDefault="002352A0">
    <w:pPr>
      <w:tabs>
        <w:tab w:val="right" w:pos="8789"/>
      </w:tabs>
      <w:rPr>
        <w:sz w:val="16"/>
      </w:rPr>
    </w:pPr>
    <w:r>
      <w:rPr>
        <w:sz w:val="16"/>
      </w:rPr>
      <w:tab/>
      <w:t xml:space="preserve">Page </w:t>
    </w:r>
    <w:r w:rsidR="00FD72CB">
      <w:rPr>
        <w:sz w:val="16"/>
      </w:rPr>
      <w:fldChar w:fldCharType="begin"/>
    </w:r>
    <w:r>
      <w:rPr>
        <w:sz w:val="16"/>
      </w:rPr>
      <w:instrText xml:space="preserve"> PAGE </w:instrText>
    </w:r>
    <w:r w:rsidR="00FD72CB">
      <w:rPr>
        <w:sz w:val="16"/>
      </w:rPr>
      <w:fldChar w:fldCharType="separate"/>
    </w:r>
    <w:r w:rsidR="00613D25">
      <w:rPr>
        <w:noProof/>
        <w:sz w:val="16"/>
      </w:rPr>
      <w:t>4</w:t>
    </w:r>
    <w:r w:rsidR="00FD72CB">
      <w:rPr>
        <w:sz w:val="16"/>
      </w:rPr>
      <w:fldChar w:fldCharType="end"/>
    </w:r>
    <w:r>
      <w:rPr>
        <w:sz w:val="16"/>
      </w:rPr>
      <w:t xml:space="preserve"> of </w:t>
    </w:r>
    <w:fldSimple w:instr=" NUMPAGES  \* MERGEFORMAT ">
      <w:r w:rsidR="00613D25" w:rsidRPr="00613D25">
        <w:rPr>
          <w:noProof/>
          <w:sz w:val="16"/>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574" w:rsidRDefault="00895574">
      <w:r>
        <w:separator/>
      </w:r>
    </w:p>
  </w:footnote>
  <w:footnote w:type="continuationSeparator" w:id="0">
    <w:p w:rsidR="00895574" w:rsidRDefault="00895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A0" w:rsidRDefault="00FD72CB">
    <w:pPr>
      <w:pStyle w:val="Header"/>
      <w:rPr>
        <w:sz w:val="16"/>
      </w:rPr>
    </w:pPr>
    <w:fldSimple w:instr=" REF Title  \* MERGEFORMAT ">
      <w:r w:rsidR="00E90A06" w:rsidRPr="00391FB0">
        <w:rPr>
          <w:b/>
          <w:sz w:val="16"/>
          <w:szCs w:val="16"/>
        </w:rPr>
        <w:t>Recreation Reserve Advertising Signage Policy</w:t>
      </w:r>
    </w:fldSimple>
    <w:r w:rsidR="002352A0">
      <w:rPr>
        <w:sz w:val="16"/>
      </w:rPr>
      <w:tab/>
    </w:r>
    <w:r w:rsidR="002352A0">
      <w:rPr>
        <w:sz w:val="16"/>
      </w:rPr>
      <w:tab/>
      <w:t>Version No</w:t>
    </w:r>
    <w:r w:rsidR="00391FB0">
      <w:rPr>
        <w:sz w:val="16"/>
        <w:szCs w:val="16"/>
      </w:rPr>
      <w:t>:</w:t>
    </w:r>
    <w:r w:rsidR="002352A0" w:rsidRPr="00391FB0">
      <w:rPr>
        <w:sz w:val="16"/>
        <w:szCs w:val="16"/>
      </w:rPr>
      <w:t xml:space="preserve">  </w:t>
    </w:r>
    <w:fldSimple w:instr=" REF VersionNo  \* MERGEFORMAT ">
      <w:r w:rsidR="00E90A06" w:rsidRPr="00391FB0">
        <w:rPr>
          <w:sz w:val="16"/>
          <w:szCs w:val="16"/>
        </w:rPr>
        <w:t>01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A2E3AA"/>
    <w:lvl w:ilvl="0">
      <w:numFmt w:val="bullet"/>
      <w:lvlText w:val="*"/>
      <w:lvlJc w:val="left"/>
    </w:lvl>
  </w:abstractNum>
  <w:abstractNum w:abstractNumId="1">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2">
    <w:nsid w:val="03480AD7"/>
    <w:multiLevelType w:val="hybridMultilevel"/>
    <w:tmpl w:val="2392E10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nsid w:val="03EF1EF2"/>
    <w:multiLevelType w:val="multilevel"/>
    <w:tmpl w:val="B5A63882"/>
    <w:lvl w:ilvl="0">
      <w:start w:val="1"/>
      <w:numFmt w:val="decimal"/>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lvlText w:val="%1.%2.%3."/>
      <w:lvlJc w:val="left"/>
      <w:pPr>
        <w:tabs>
          <w:tab w:val="num" w:pos="1588"/>
        </w:tabs>
        <w:ind w:left="1588" w:hanging="794"/>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5">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6">
    <w:nsid w:val="21892FA7"/>
    <w:multiLevelType w:val="hybridMultilevel"/>
    <w:tmpl w:val="A9BC10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E76B47"/>
    <w:multiLevelType w:val="hybridMultilevel"/>
    <w:tmpl w:val="56FA139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668127A8"/>
    <w:multiLevelType w:val="hybridMultilevel"/>
    <w:tmpl w:val="215E56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
  </w:num>
  <w:num w:numId="9">
    <w:abstractNumId w:val="1"/>
  </w:num>
  <w:num w:numId="10">
    <w:abstractNumId w:val="1"/>
  </w:num>
  <w:num w:numId="11">
    <w:abstractNumId w:val="3"/>
  </w:num>
  <w:num w:numId="12">
    <w:abstractNumId w:val="7"/>
  </w:num>
  <w:num w:numId="13">
    <w:abstractNumId w:val="4"/>
  </w:num>
  <w:num w:numId="14">
    <w:abstractNumId w:val="4"/>
  </w:num>
  <w:num w:numId="15">
    <w:abstractNumId w:val="5"/>
  </w:num>
  <w:num w:numId="16">
    <w:abstractNumId w:val="7"/>
  </w:num>
  <w:num w:numId="17">
    <w:abstractNumId w:val="5"/>
  </w:num>
  <w:num w:numId="18">
    <w:abstractNumId w:val="2"/>
  </w:num>
  <w:num w:numId="19">
    <w:abstractNumId w:val="4"/>
  </w:num>
  <w:num w:numId="20">
    <w:abstractNumId w:val="5"/>
  </w:num>
  <w:num w:numId="21">
    <w:abstractNumId w:val="0"/>
    <w:lvlOverride w:ilvl="0">
      <w:lvl w:ilvl="0">
        <w:start w:val="1"/>
        <w:numFmt w:val="bullet"/>
        <w:lvlText w:val="•"/>
        <w:legacy w:legacy="1" w:legacySpace="0" w:legacyIndent="425"/>
        <w:lvlJc w:val="left"/>
        <w:pPr>
          <w:ind w:left="992" w:hanging="425"/>
        </w:pPr>
        <w:rPr>
          <w:rFonts w:ascii="Times" w:hAnsi="Times" w:cs="Times" w:hint="default"/>
        </w:rPr>
      </w:lvl>
    </w:lvlOverride>
  </w:num>
  <w:num w:numId="22">
    <w:abstractNumId w:val="3"/>
  </w:num>
  <w:num w:numId="23">
    <w:abstractNumId w:val="3"/>
  </w:num>
  <w:num w:numId="24">
    <w:abstractNumId w:val="6"/>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9963A1"/>
    <w:rsid w:val="000049B6"/>
    <w:rsid w:val="000158BA"/>
    <w:rsid w:val="00055B27"/>
    <w:rsid w:val="00091D86"/>
    <w:rsid w:val="00092E2C"/>
    <w:rsid w:val="000D6AF4"/>
    <w:rsid w:val="000E2656"/>
    <w:rsid w:val="00112ED6"/>
    <w:rsid w:val="0016319E"/>
    <w:rsid w:val="00186313"/>
    <w:rsid w:val="00187D52"/>
    <w:rsid w:val="001B0E78"/>
    <w:rsid w:val="001D0046"/>
    <w:rsid w:val="002352A0"/>
    <w:rsid w:val="00235489"/>
    <w:rsid w:val="00273262"/>
    <w:rsid w:val="002D188A"/>
    <w:rsid w:val="00326EB5"/>
    <w:rsid w:val="003450CB"/>
    <w:rsid w:val="00391FB0"/>
    <w:rsid w:val="003B0D03"/>
    <w:rsid w:val="003B2584"/>
    <w:rsid w:val="003C743F"/>
    <w:rsid w:val="003E26AF"/>
    <w:rsid w:val="004340E1"/>
    <w:rsid w:val="0054778A"/>
    <w:rsid w:val="005B2A0C"/>
    <w:rsid w:val="005B3AD5"/>
    <w:rsid w:val="005C2493"/>
    <w:rsid w:val="005D1D53"/>
    <w:rsid w:val="00613D25"/>
    <w:rsid w:val="00643090"/>
    <w:rsid w:val="00670D20"/>
    <w:rsid w:val="00723B7B"/>
    <w:rsid w:val="00797B61"/>
    <w:rsid w:val="007A4534"/>
    <w:rsid w:val="00823B49"/>
    <w:rsid w:val="008752D4"/>
    <w:rsid w:val="00895574"/>
    <w:rsid w:val="008B7686"/>
    <w:rsid w:val="00954DC2"/>
    <w:rsid w:val="0097649B"/>
    <w:rsid w:val="00995C72"/>
    <w:rsid w:val="009963A1"/>
    <w:rsid w:val="009A1D87"/>
    <w:rsid w:val="009A607B"/>
    <w:rsid w:val="009F0D48"/>
    <w:rsid w:val="00A01024"/>
    <w:rsid w:val="00A80919"/>
    <w:rsid w:val="00A80B71"/>
    <w:rsid w:val="00A905BE"/>
    <w:rsid w:val="00AD22A2"/>
    <w:rsid w:val="00B66B27"/>
    <w:rsid w:val="00BB2DA2"/>
    <w:rsid w:val="00C43B1B"/>
    <w:rsid w:val="00CA45D1"/>
    <w:rsid w:val="00D03E18"/>
    <w:rsid w:val="00D11BA1"/>
    <w:rsid w:val="00D2567D"/>
    <w:rsid w:val="00D54767"/>
    <w:rsid w:val="00D64FFE"/>
    <w:rsid w:val="00D73155"/>
    <w:rsid w:val="00D8047A"/>
    <w:rsid w:val="00E045EA"/>
    <w:rsid w:val="00E34CE8"/>
    <w:rsid w:val="00E3744F"/>
    <w:rsid w:val="00E854E3"/>
    <w:rsid w:val="00E90A06"/>
    <w:rsid w:val="00EB3A07"/>
    <w:rsid w:val="00EE4A7D"/>
    <w:rsid w:val="00F024F4"/>
    <w:rsid w:val="00F144B3"/>
    <w:rsid w:val="00FD63C7"/>
    <w:rsid w:val="00FD6BF5"/>
    <w:rsid w:val="00FD72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BA"/>
    <w:rPr>
      <w:rFonts w:ascii="Arial" w:eastAsia="Times New Roman" w:hAnsi="Arial"/>
      <w:color w:val="000000"/>
      <w:sz w:val="22"/>
      <w:lang w:val="en-GB" w:eastAsia="ja-JP"/>
    </w:rPr>
  </w:style>
  <w:style w:type="paragraph" w:styleId="Heading1">
    <w:name w:val="heading 1"/>
    <w:basedOn w:val="Normal"/>
    <w:next w:val="Normal"/>
    <w:qFormat/>
    <w:rsid w:val="000158BA"/>
    <w:pPr>
      <w:keepNext/>
      <w:jc w:val="center"/>
      <w:outlineLvl w:val="0"/>
    </w:pPr>
    <w:rPr>
      <w:b/>
      <w:color w:val="auto"/>
      <w:sz w:val="3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58BA"/>
    <w:pPr>
      <w:tabs>
        <w:tab w:val="center" w:pos="4320"/>
        <w:tab w:val="right" w:pos="8640"/>
      </w:tabs>
    </w:pPr>
    <w:rPr>
      <w:sz w:val="20"/>
    </w:rPr>
  </w:style>
  <w:style w:type="paragraph" w:customStyle="1" w:styleId="NumberedPara">
    <w:name w:val="Numbered Para"/>
    <w:basedOn w:val="Normal"/>
    <w:next w:val="Normal"/>
    <w:rsid w:val="000158BA"/>
    <w:pPr>
      <w:tabs>
        <w:tab w:val="num" w:pos="360"/>
      </w:tabs>
      <w:spacing w:before="120" w:after="120"/>
      <w:ind w:left="340" w:hanging="340"/>
      <w:jc w:val="both"/>
    </w:pPr>
    <w:rPr>
      <w:b/>
      <w:color w:val="auto"/>
      <w:sz w:val="24"/>
      <w:lang w:val="en-AU"/>
    </w:rPr>
  </w:style>
  <w:style w:type="paragraph" w:customStyle="1" w:styleId="NormalIndent1">
    <w:name w:val="Normal Indent 1"/>
    <w:basedOn w:val="NormalIndent"/>
    <w:rsid w:val="000158BA"/>
    <w:pPr>
      <w:spacing w:after="120"/>
      <w:ind w:left="1134"/>
      <w:jc w:val="both"/>
    </w:pPr>
    <w:rPr>
      <w:color w:val="auto"/>
      <w:lang w:val="en-AU"/>
    </w:rPr>
  </w:style>
  <w:style w:type="paragraph" w:customStyle="1" w:styleId="NumberedPara1">
    <w:name w:val="Numbered Para1"/>
    <w:basedOn w:val="Normal"/>
    <w:rsid w:val="000158BA"/>
    <w:pPr>
      <w:numPr>
        <w:ilvl w:val="1"/>
        <w:numId w:val="1"/>
      </w:numPr>
      <w:spacing w:before="120" w:after="120"/>
      <w:jc w:val="both"/>
    </w:pPr>
    <w:rPr>
      <w:b/>
      <w:color w:val="auto"/>
      <w:sz w:val="24"/>
      <w:lang w:val="en-AU"/>
    </w:rPr>
  </w:style>
  <w:style w:type="paragraph" w:customStyle="1" w:styleId="OfficerFile">
    <w:name w:val="Officer File"/>
    <w:basedOn w:val="Normal"/>
    <w:next w:val="Normal"/>
    <w:rsid w:val="000158BA"/>
    <w:pPr>
      <w:jc w:val="both"/>
    </w:pPr>
    <w:rPr>
      <w:b/>
      <w:color w:val="auto"/>
      <w:sz w:val="24"/>
      <w:lang w:val="en-AU"/>
    </w:rPr>
  </w:style>
  <w:style w:type="paragraph" w:customStyle="1" w:styleId="SummaryPoints">
    <w:name w:val="Summary Points"/>
    <w:basedOn w:val="Normal"/>
    <w:rsid w:val="000158BA"/>
    <w:pPr>
      <w:numPr>
        <w:numId w:val="3"/>
      </w:numPr>
      <w:spacing w:after="160"/>
      <w:jc w:val="both"/>
    </w:pPr>
    <w:rPr>
      <w:color w:val="auto"/>
      <w:lang w:val="en-AU"/>
    </w:rPr>
  </w:style>
  <w:style w:type="paragraph" w:customStyle="1" w:styleId="SumPoint">
    <w:name w:val="Sum Point"/>
    <w:basedOn w:val="Normal"/>
    <w:rsid w:val="000158BA"/>
    <w:pPr>
      <w:numPr>
        <w:numId w:val="2"/>
      </w:numPr>
      <w:spacing w:after="160"/>
    </w:pPr>
    <w:rPr>
      <w:color w:val="auto"/>
      <w:lang w:val="en-AU"/>
    </w:rPr>
  </w:style>
  <w:style w:type="paragraph" w:customStyle="1" w:styleId="Sumpoint2">
    <w:name w:val="Sum point 2"/>
    <w:basedOn w:val="SummaryPoints"/>
    <w:rsid w:val="000158BA"/>
    <w:pPr>
      <w:numPr>
        <w:numId w:val="4"/>
      </w:numPr>
    </w:pPr>
  </w:style>
  <w:style w:type="paragraph" w:styleId="NormalIndent">
    <w:name w:val="Normal Indent"/>
    <w:basedOn w:val="Normal"/>
    <w:rsid w:val="000158BA"/>
    <w:pPr>
      <w:ind w:left="720"/>
    </w:pPr>
  </w:style>
  <w:style w:type="paragraph" w:styleId="BalloonText">
    <w:name w:val="Balloon Text"/>
    <w:basedOn w:val="Normal"/>
    <w:semiHidden/>
    <w:rsid w:val="00091D86"/>
    <w:rPr>
      <w:rFonts w:ascii="Tahoma" w:hAnsi="Tahoma" w:cs="Tahoma"/>
      <w:sz w:val="16"/>
      <w:szCs w:val="16"/>
    </w:rPr>
  </w:style>
  <w:style w:type="paragraph" w:styleId="ListParagraph">
    <w:name w:val="List Paragraph"/>
    <w:basedOn w:val="Normal"/>
    <w:uiPriority w:val="34"/>
    <w:qFormat/>
    <w:rsid w:val="00D8047A"/>
    <w:pPr>
      <w:ind w:left="720"/>
    </w:pPr>
    <w:rPr>
      <w:rFonts w:ascii="Calibri" w:eastAsia="Calibri" w:hAnsi="Calibri"/>
      <w:color w:val="auto"/>
      <w:szCs w:val="22"/>
      <w:lang w:val="en-AU" w:eastAsia="en-AU"/>
    </w:rPr>
  </w:style>
  <w:style w:type="character" w:styleId="CommentReference">
    <w:name w:val="annotation reference"/>
    <w:basedOn w:val="DefaultParagraphFont"/>
    <w:uiPriority w:val="99"/>
    <w:semiHidden/>
    <w:unhideWhenUsed/>
    <w:rsid w:val="005B3AD5"/>
    <w:rPr>
      <w:sz w:val="16"/>
      <w:szCs w:val="16"/>
    </w:rPr>
  </w:style>
  <w:style w:type="paragraph" w:styleId="CommentText">
    <w:name w:val="annotation text"/>
    <w:basedOn w:val="Normal"/>
    <w:link w:val="CommentTextChar"/>
    <w:uiPriority w:val="99"/>
    <w:semiHidden/>
    <w:unhideWhenUsed/>
    <w:rsid w:val="005B3AD5"/>
    <w:rPr>
      <w:sz w:val="20"/>
    </w:rPr>
  </w:style>
  <w:style w:type="character" w:customStyle="1" w:styleId="CommentTextChar">
    <w:name w:val="Comment Text Char"/>
    <w:basedOn w:val="DefaultParagraphFont"/>
    <w:link w:val="CommentText"/>
    <w:uiPriority w:val="99"/>
    <w:semiHidden/>
    <w:rsid w:val="005B3AD5"/>
    <w:rPr>
      <w:rFonts w:ascii="Arial" w:eastAsia="Times New Roman" w:hAnsi="Arial"/>
      <w:color w:val="000000"/>
      <w:lang w:val="en-GB" w:eastAsia="ja-JP"/>
    </w:rPr>
  </w:style>
  <w:style w:type="paragraph" w:styleId="CommentSubject">
    <w:name w:val="annotation subject"/>
    <w:basedOn w:val="CommentText"/>
    <w:next w:val="CommentText"/>
    <w:link w:val="CommentSubjectChar"/>
    <w:uiPriority w:val="99"/>
    <w:semiHidden/>
    <w:unhideWhenUsed/>
    <w:rsid w:val="005B3AD5"/>
    <w:rPr>
      <w:b/>
      <w:bCs/>
    </w:rPr>
  </w:style>
  <w:style w:type="character" w:customStyle="1" w:styleId="CommentSubjectChar">
    <w:name w:val="Comment Subject Char"/>
    <w:basedOn w:val="CommentTextChar"/>
    <w:link w:val="CommentSubject"/>
    <w:uiPriority w:val="99"/>
    <w:semiHidden/>
    <w:rsid w:val="005B3AD5"/>
    <w:rPr>
      <w:b/>
      <w:bCs/>
    </w:rPr>
  </w:style>
  <w:style w:type="paragraph" w:customStyle="1" w:styleId="SummaryPoints0">
    <w:name w:val="SummaryPoints"/>
    <w:basedOn w:val="Normal"/>
    <w:rsid w:val="00723B7B"/>
    <w:pPr>
      <w:spacing w:after="160"/>
      <w:ind w:left="992" w:hanging="425"/>
      <w:jc w:val="both"/>
    </w:pPr>
    <w:rPr>
      <w:lang w:eastAsia="en-AU"/>
    </w:rPr>
  </w:style>
  <w:style w:type="paragraph" w:styleId="Footer">
    <w:name w:val="footer"/>
    <w:basedOn w:val="Normal"/>
    <w:link w:val="FooterChar"/>
    <w:uiPriority w:val="99"/>
    <w:semiHidden/>
    <w:unhideWhenUsed/>
    <w:rsid w:val="00A905BE"/>
    <w:pPr>
      <w:tabs>
        <w:tab w:val="center" w:pos="4513"/>
        <w:tab w:val="right" w:pos="9026"/>
      </w:tabs>
    </w:pPr>
  </w:style>
  <w:style w:type="character" w:customStyle="1" w:styleId="FooterChar">
    <w:name w:val="Footer Char"/>
    <w:basedOn w:val="DefaultParagraphFont"/>
    <w:link w:val="Footer"/>
    <w:uiPriority w:val="99"/>
    <w:semiHidden/>
    <w:rsid w:val="00A905BE"/>
    <w:rPr>
      <w:rFonts w:ascii="Arial" w:eastAsia="Times New Roman" w:hAnsi="Arial"/>
      <w:color w:val="000000"/>
      <w:sz w:val="22"/>
      <w:lang w:val="en-GB" w:eastAsia="ja-JP"/>
    </w:rPr>
  </w:style>
</w:styles>
</file>

<file path=word/webSettings.xml><?xml version="1.0" encoding="utf-8"?>
<w:webSettings xmlns:r="http://schemas.openxmlformats.org/officeDocument/2006/relationships" xmlns:w="http://schemas.openxmlformats.org/wordprocessingml/2006/main">
  <w:divs>
    <w:div w:id="153685017">
      <w:bodyDiv w:val="1"/>
      <w:marLeft w:val="0"/>
      <w:marRight w:val="0"/>
      <w:marTop w:val="0"/>
      <w:marBottom w:val="0"/>
      <w:divBdr>
        <w:top w:val="none" w:sz="0" w:space="0" w:color="auto"/>
        <w:left w:val="none" w:sz="0" w:space="0" w:color="auto"/>
        <w:bottom w:val="none" w:sz="0" w:space="0" w:color="auto"/>
        <w:right w:val="none" w:sz="0" w:space="0" w:color="auto"/>
      </w:divBdr>
    </w:div>
    <w:div w:id="9525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0A4D-19E7-44A6-813F-7D435DAF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COUNCIL POLICY</vt:lpstr>
    </vt:vector>
  </TitlesOfParts>
  <Company>COGG</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POLICY</dc:title>
  <dc:creator>Shelley Christy</dc:creator>
  <cp:lastModifiedBy>cj06133</cp:lastModifiedBy>
  <cp:revision>4</cp:revision>
  <cp:lastPrinted>2013-05-16T06:43:00Z</cp:lastPrinted>
  <dcterms:created xsi:type="dcterms:W3CDTF">2015-05-27T04:37:00Z</dcterms:created>
  <dcterms:modified xsi:type="dcterms:W3CDTF">2015-06-01T23:27:00Z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Council Policy CPL285.5 Recreation Reserve Advertising Signage policy V02 approved 22/4/2014</vt:lpwstr>
  </property>
  <property fmtid="{D5CDD505-2E9C-101B-9397-08002B2CF9AE}" pid="3" name="DWDocClass">
    <vt:lpwstr>POLPRO</vt:lpwstr>
  </property>
  <property fmtid="{D5CDD505-2E9C-101B-9397-08002B2CF9AE}" pid="4" name="DWDocType">
    <vt:lpwstr>MS Word 2007</vt:lpwstr>
  </property>
  <property fmtid="{D5CDD505-2E9C-101B-9397-08002B2CF9AE}" pid="5" name="DWDocAuthor">
    <vt:lpwstr/>
  </property>
  <property fmtid="{D5CDD505-2E9C-101B-9397-08002B2CF9AE}" pid="6" name="DWDocNo">
    <vt:i4>7087031</vt:i4>
  </property>
  <property fmtid="{D5CDD505-2E9C-101B-9397-08002B2CF9AE}" pid="7" name="DWDocSetID">
    <vt:i4>5106998</vt:i4>
  </property>
  <property fmtid="{D5CDD505-2E9C-101B-9397-08002B2CF9AE}" pid="8" name="DWDocVersion">
    <vt:i4>1</vt:i4>
  </property>
</Properties>
</file>