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FA81" w14:textId="2BF0BC5A" w:rsidR="00922098" w:rsidRDefault="0071637E" w:rsidP="0071637E">
      <w:pPr>
        <w:jc w:val="right"/>
      </w:pPr>
      <w:r>
        <w:rPr>
          <w:noProof/>
          <w:color w:val="0E2841" w:themeColor="text2"/>
          <w:lang w:eastAsia="en-AU"/>
        </w:rPr>
        <w:drawing>
          <wp:inline distT="0" distB="0" distL="0" distR="0" wp14:anchorId="4D769B7E" wp14:editId="6D0EC50A">
            <wp:extent cx="2274689" cy="564339"/>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2017 CoGG Masterbrand L_Primary CMYK_hi 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964" cy="567384"/>
                    </a:xfrm>
                    <a:prstGeom prst="rect">
                      <a:avLst/>
                    </a:prstGeom>
                  </pic:spPr>
                </pic:pic>
              </a:graphicData>
            </a:graphic>
          </wp:inline>
        </w:drawing>
      </w:r>
    </w:p>
    <w:p w14:paraId="30E77E6B" w14:textId="77777777" w:rsidR="0071637E" w:rsidRPr="0071637E" w:rsidRDefault="0071637E" w:rsidP="0071637E">
      <w:pPr>
        <w:rPr>
          <w:lang w:eastAsia="en-AU"/>
        </w:rPr>
      </w:pPr>
    </w:p>
    <w:p w14:paraId="1E345C1E" w14:textId="38003296" w:rsidR="0071637E" w:rsidRPr="002B5967" w:rsidRDefault="0071637E" w:rsidP="0071637E">
      <w:pPr>
        <w:pStyle w:val="Heading1"/>
        <w:jc w:val="center"/>
        <w:rPr>
          <w:b/>
          <w:bCs/>
          <w:sz w:val="56"/>
          <w:szCs w:val="56"/>
        </w:rPr>
      </w:pPr>
      <w:r w:rsidRPr="002B5967">
        <w:rPr>
          <w:b/>
          <w:bCs/>
          <w:sz w:val="56"/>
          <w:szCs w:val="56"/>
        </w:rPr>
        <w:t>2024 GEELONG PREVENTATIVE HEALTH SURVEY</w:t>
      </w:r>
    </w:p>
    <w:p w14:paraId="027247AB" w14:textId="7AA16A3F" w:rsidR="0071637E" w:rsidRDefault="002B5967" w:rsidP="0071637E">
      <w:pPr>
        <w:pStyle w:val="Heading1"/>
        <w:rPr>
          <w:b/>
          <w:bCs/>
        </w:rPr>
      </w:pPr>
      <w:r w:rsidRPr="002B5967">
        <w:rPr>
          <w:noProof/>
          <w:sz w:val="56"/>
          <w:szCs w:val="56"/>
          <w:lang w:eastAsia="en-AU"/>
        </w:rPr>
        <w:drawing>
          <wp:anchor distT="0" distB="0" distL="114300" distR="114300" simplePos="0" relativeHeight="251659264" behindDoc="0" locked="0" layoutInCell="1" allowOverlap="1" wp14:anchorId="1E9B4A62" wp14:editId="1987243E">
            <wp:simplePos x="0" y="0"/>
            <wp:positionH relativeFrom="margin">
              <wp:align>left</wp:align>
            </wp:positionH>
            <wp:positionV relativeFrom="paragraph">
              <wp:posOffset>189865</wp:posOffset>
            </wp:positionV>
            <wp:extent cx="5753100" cy="5753100"/>
            <wp:effectExtent l="0" t="0" r="0" b="0"/>
            <wp:wrapNone/>
            <wp:docPr id="45" name="Picture 45" descr="This picture depicts adults, children and pets exercising in a park surrounded by trees and green space. All elements of a healthy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This picture depicts adults, children and pets exercising in a park surrounded by trees and green space. All elements of a healthy community."/>
                    <pic:cNvPicPr/>
                  </pic:nvPicPr>
                  <pic:blipFill>
                    <a:blip r:embed="rId10">
                      <a:extLst>
                        <a:ext uri="{28A0092B-C50C-407E-A947-70E740481C1C}">
                          <a14:useLocalDpi xmlns:a14="http://schemas.microsoft.com/office/drawing/2010/main" val="0"/>
                        </a:ext>
                      </a:extLst>
                    </a:blip>
                    <a:stretch>
                      <a:fillRect/>
                    </a:stretch>
                  </pic:blipFill>
                  <pic:spPr>
                    <a:xfrm>
                      <a:off x="0" y="0"/>
                      <a:ext cx="5753100" cy="5753100"/>
                    </a:xfrm>
                    <a:prstGeom prst="rect">
                      <a:avLst/>
                    </a:prstGeom>
                  </pic:spPr>
                </pic:pic>
              </a:graphicData>
            </a:graphic>
            <wp14:sizeRelH relativeFrom="page">
              <wp14:pctWidth>0</wp14:pctWidth>
            </wp14:sizeRelH>
            <wp14:sizeRelV relativeFrom="page">
              <wp14:pctHeight>0</wp14:pctHeight>
            </wp14:sizeRelV>
          </wp:anchor>
        </w:drawing>
      </w:r>
    </w:p>
    <w:p w14:paraId="6D471114" w14:textId="3C242FB4" w:rsidR="0071637E" w:rsidRDefault="0071637E" w:rsidP="0071637E">
      <w:pPr>
        <w:pStyle w:val="Heading1"/>
        <w:rPr>
          <w:b/>
          <w:bCs/>
        </w:rPr>
      </w:pPr>
    </w:p>
    <w:p w14:paraId="45E610B9" w14:textId="4DA672A4" w:rsidR="00922098" w:rsidRDefault="00922098" w:rsidP="0071637E">
      <w:pPr>
        <w:pStyle w:val="Heading1"/>
      </w:pPr>
      <w:r>
        <w:br w:type="page"/>
      </w:r>
    </w:p>
    <w:p w14:paraId="2CC275FF" w14:textId="3BE60B82" w:rsidR="00922098" w:rsidRDefault="00922098">
      <w:r>
        <w:lastRenderedPageBreak/>
        <w:t>We Acknowledge the Wadawurrung People as the Traditional Owners of the Land, Waterways and Skies. We pay our respects to their Elders, past, present and emerging. We Acknowledge all Aboriginal and Torres Strait Islander people who are part of our Greater Geelong community today.</w:t>
      </w:r>
    </w:p>
    <w:p w14:paraId="536F35C3" w14:textId="77777777" w:rsidR="00922098" w:rsidRDefault="00922098"/>
    <w:p w14:paraId="629AFFB5" w14:textId="6F50B11F" w:rsidR="00922098" w:rsidRDefault="00922098">
      <w:r>
        <w:br w:type="page"/>
      </w:r>
    </w:p>
    <w:p w14:paraId="05A7E176" w14:textId="5ECCC640" w:rsidR="00922098" w:rsidRDefault="00922098" w:rsidP="00922098">
      <w:pPr>
        <w:pStyle w:val="Heading1"/>
      </w:pPr>
      <w:bookmarkStart w:id="0" w:name="_Toc195192684"/>
      <w:r>
        <w:lastRenderedPageBreak/>
        <w:t>Contents</w:t>
      </w:r>
      <w:bookmarkEnd w:id="0"/>
    </w:p>
    <w:p w14:paraId="4405CF82" w14:textId="77777777" w:rsidR="00922098" w:rsidRDefault="00922098" w:rsidP="00922098"/>
    <w:sdt>
      <w:sdtPr>
        <w:rPr>
          <w:rFonts w:asciiTheme="minorHAnsi" w:eastAsiaTheme="minorHAnsi" w:hAnsiTheme="minorHAnsi" w:cstheme="minorBidi"/>
          <w:color w:val="auto"/>
          <w:kern w:val="2"/>
          <w:sz w:val="22"/>
          <w:szCs w:val="22"/>
          <w:lang w:val="en-AU"/>
          <w14:ligatures w14:val="standardContextual"/>
        </w:rPr>
        <w:id w:val="-1788962814"/>
        <w:docPartObj>
          <w:docPartGallery w:val="Table of Contents"/>
          <w:docPartUnique/>
        </w:docPartObj>
      </w:sdtPr>
      <w:sdtEndPr>
        <w:rPr>
          <w:b/>
          <w:bCs/>
          <w:noProof/>
        </w:rPr>
      </w:sdtEndPr>
      <w:sdtContent>
        <w:p w14:paraId="3E4681CA" w14:textId="7336C73D" w:rsidR="0055150A" w:rsidRDefault="0055150A" w:rsidP="0055150A">
          <w:pPr>
            <w:pStyle w:val="TOCHeading"/>
            <w:rPr>
              <w:noProof/>
            </w:rPr>
          </w:pPr>
          <w:r>
            <w:fldChar w:fldCharType="begin"/>
          </w:r>
          <w:r>
            <w:instrText xml:space="preserve"> TOC \o "1-3" \h \z \u </w:instrText>
          </w:r>
          <w:r>
            <w:fldChar w:fldCharType="separate"/>
          </w:r>
        </w:p>
        <w:p w14:paraId="31EDECCA" w14:textId="5D237025" w:rsidR="0055150A" w:rsidRDefault="00A33EBF">
          <w:pPr>
            <w:pStyle w:val="TOC1"/>
            <w:tabs>
              <w:tab w:val="right" w:leader="dot" w:pos="9016"/>
            </w:tabs>
            <w:rPr>
              <w:noProof/>
            </w:rPr>
          </w:pPr>
          <w:hyperlink w:anchor="_Toc195192685" w:history="1">
            <w:r w:rsidR="0055150A" w:rsidRPr="0085508F">
              <w:rPr>
                <w:rStyle w:val="Hyperlink"/>
                <w:noProof/>
              </w:rPr>
              <w:t>Introduction</w:t>
            </w:r>
            <w:r w:rsidR="0055150A">
              <w:rPr>
                <w:noProof/>
                <w:webHidden/>
              </w:rPr>
              <w:tab/>
            </w:r>
            <w:r w:rsidR="0055150A">
              <w:rPr>
                <w:noProof/>
                <w:webHidden/>
              </w:rPr>
              <w:fldChar w:fldCharType="begin"/>
            </w:r>
            <w:r w:rsidR="0055150A">
              <w:rPr>
                <w:noProof/>
                <w:webHidden/>
              </w:rPr>
              <w:instrText xml:space="preserve"> PAGEREF _Toc195192685 \h </w:instrText>
            </w:r>
            <w:r w:rsidR="0055150A">
              <w:rPr>
                <w:noProof/>
                <w:webHidden/>
              </w:rPr>
            </w:r>
            <w:r w:rsidR="0055150A">
              <w:rPr>
                <w:noProof/>
                <w:webHidden/>
              </w:rPr>
              <w:fldChar w:fldCharType="separate"/>
            </w:r>
            <w:r w:rsidR="0055150A">
              <w:rPr>
                <w:noProof/>
                <w:webHidden/>
              </w:rPr>
              <w:t>4</w:t>
            </w:r>
            <w:r w:rsidR="0055150A">
              <w:rPr>
                <w:noProof/>
                <w:webHidden/>
              </w:rPr>
              <w:fldChar w:fldCharType="end"/>
            </w:r>
          </w:hyperlink>
        </w:p>
        <w:p w14:paraId="0FA1C306" w14:textId="4A2BFF4A" w:rsidR="0055150A" w:rsidRDefault="00A33EBF">
          <w:pPr>
            <w:pStyle w:val="TOC1"/>
            <w:tabs>
              <w:tab w:val="right" w:leader="dot" w:pos="9016"/>
            </w:tabs>
            <w:rPr>
              <w:noProof/>
            </w:rPr>
          </w:pPr>
          <w:hyperlink w:anchor="_Toc195192686" w:history="1">
            <w:r w:rsidR="0055150A" w:rsidRPr="0085508F">
              <w:rPr>
                <w:rStyle w:val="Hyperlink"/>
                <w:noProof/>
              </w:rPr>
              <w:t>Summary Findings</w:t>
            </w:r>
            <w:r w:rsidR="0055150A">
              <w:rPr>
                <w:noProof/>
                <w:webHidden/>
              </w:rPr>
              <w:tab/>
            </w:r>
            <w:r w:rsidR="0055150A">
              <w:rPr>
                <w:noProof/>
                <w:webHidden/>
              </w:rPr>
              <w:fldChar w:fldCharType="begin"/>
            </w:r>
            <w:r w:rsidR="0055150A">
              <w:rPr>
                <w:noProof/>
                <w:webHidden/>
              </w:rPr>
              <w:instrText xml:space="preserve"> PAGEREF _Toc195192686 \h </w:instrText>
            </w:r>
            <w:r w:rsidR="0055150A">
              <w:rPr>
                <w:noProof/>
                <w:webHidden/>
              </w:rPr>
            </w:r>
            <w:r w:rsidR="0055150A">
              <w:rPr>
                <w:noProof/>
                <w:webHidden/>
              </w:rPr>
              <w:fldChar w:fldCharType="separate"/>
            </w:r>
            <w:r w:rsidR="0055150A">
              <w:rPr>
                <w:noProof/>
                <w:webHidden/>
              </w:rPr>
              <w:t>6</w:t>
            </w:r>
            <w:r w:rsidR="0055150A">
              <w:rPr>
                <w:noProof/>
                <w:webHidden/>
              </w:rPr>
              <w:fldChar w:fldCharType="end"/>
            </w:r>
          </w:hyperlink>
        </w:p>
        <w:p w14:paraId="4BC37527" w14:textId="453B5975" w:rsidR="0055150A" w:rsidRDefault="00A33EBF">
          <w:pPr>
            <w:pStyle w:val="TOC1"/>
            <w:tabs>
              <w:tab w:val="right" w:leader="dot" w:pos="9016"/>
            </w:tabs>
            <w:rPr>
              <w:noProof/>
            </w:rPr>
          </w:pPr>
          <w:hyperlink w:anchor="_Toc195192687" w:history="1">
            <w:r w:rsidR="0055150A" w:rsidRPr="0085508F">
              <w:rPr>
                <w:rStyle w:val="Hyperlink"/>
                <w:noProof/>
              </w:rPr>
              <w:t>Key Findings Overview</w:t>
            </w:r>
            <w:r w:rsidR="0055150A">
              <w:rPr>
                <w:noProof/>
                <w:webHidden/>
              </w:rPr>
              <w:tab/>
            </w:r>
            <w:r w:rsidR="0055150A">
              <w:rPr>
                <w:noProof/>
                <w:webHidden/>
              </w:rPr>
              <w:fldChar w:fldCharType="begin"/>
            </w:r>
            <w:r w:rsidR="0055150A">
              <w:rPr>
                <w:noProof/>
                <w:webHidden/>
              </w:rPr>
              <w:instrText xml:space="preserve"> PAGEREF _Toc195192687 \h </w:instrText>
            </w:r>
            <w:r w:rsidR="0055150A">
              <w:rPr>
                <w:noProof/>
                <w:webHidden/>
              </w:rPr>
            </w:r>
            <w:r w:rsidR="0055150A">
              <w:rPr>
                <w:noProof/>
                <w:webHidden/>
              </w:rPr>
              <w:fldChar w:fldCharType="separate"/>
            </w:r>
            <w:r w:rsidR="0055150A">
              <w:rPr>
                <w:noProof/>
                <w:webHidden/>
              </w:rPr>
              <w:t>7</w:t>
            </w:r>
            <w:r w:rsidR="0055150A">
              <w:rPr>
                <w:noProof/>
                <w:webHidden/>
              </w:rPr>
              <w:fldChar w:fldCharType="end"/>
            </w:r>
          </w:hyperlink>
        </w:p>
        <w:p w14:paraId="0AE81F5B" w14:textId="2C3007F8" w:rsidR="0055150A" w:rsidRDefault="00A33EBF">
          <w:pPr>
            <w:pStyle w:val="TOC1"/>
            <w:tabs>
              <w:tab w:val="right" w:leader="dot" w:pos="9016"/>
            </w:tabs>
            <w:rPr>
              <w:noProof/>
            </w:rPr>
          </w:pPr>
          <w:hyperlink w:anchor="_Toc195192698" w:history="1">
            <w:r w:rsidR="0055150A" w:rsidRPr="0085508F">
              <w:rPr>
                <w:rStyle w:val="Hyperlink"/>
                <w:noProof/>
              </w:rPr>
              <w:t>Key Findings by Demographics and Priority Populations</w:t>
            </w:r>
            <w:r w:rsidR="0055150A">
              <w:rPr>
                <w:noProof/>
                <w:webHidden/>
              </w:rPr>
              <w:tab/>
            </w:r>
            <w:r w:rsidR="0055150A">
              <w:rPr>
                <w:noProof/>
                <w:webHidden/>
              </w:rPr>
              <w:fldChar w:fldCharType="begin"/>
            </w:r>
            <w:r w:rsidR="0055150A">
              <w:rPr>
                <w:noProof/>
                <w:webHidden/>
              </w:rPr>
              <w:instrText xml:space="preserve"> PAGEREF _Toc195192698 \h </w:instrText>
            </w:r>
            <w:r w:rsidR="0055150A">
              <w:rPr>
                <w:noProof/>
                <w:webHidden/>
              </w:rPr>
            </w:r>
            <w:r w:rsidR="0055150A">
              <w:rPr>
                <w:noProof/>
                <w:webHidden/>
              </w:rPr>
              <w:fldChar w:fldCharType="separate"/>
            </w:r>
            <w:r w:rsidR="0055150A">
              <w:rPr>
                <w:noProof/>
                <w:webHidden/>
              </w:rPr>
              <w:t>11</w:t>
            </w:r>
            <w:r w:rsidR="0055150A">
              <w:rPr>
                <w:noProof/>
                <w:webHidden/>
              </w:rPr>
              <w:fldChar w:fldCharType="end"/>
            </w:r>
          </w:hyperlink>
        </w:p>
        <w:p w14:paraId="5BECFB25" w14:textId="01473776" w:rsidR="0055150A" w:rsidRDefault="00A33EBF">
          <w:pPr>
            <w:pStyle w:val="TOC1"/>
            <w:tabs>
              <w:tab w:val="right" w:leader="dot" w:pos="9016"/>
            </w:tabs>
            <w:rPr>
              <w:noProof/>
            </w:rPr>
          </w:pPr>
          <w:hyperlink w:anchor="_Toc195192709" w:history="1">
            <w:r w:rsidR="0055150A" w:rsidRPr="0085508F">
              <w:rPr>
                <w:rStyle w:val="Hyperlink"/>
                <w:noProof/>
              </w:rPr>
              <w:t>Key Findings by Planning Area</w:t>
            </w:r>
            <w:r w:rsidR="0055150A">
              <w:rPr>
                <w:noProof/>
                <w:webHidden/>
              </w:rPr>
              <w:tab/>
            </w:r>
            <w:r w:rsidR="0055150A">
              <w:rPr>
                <w:noProof/>
                <w:webHidden/>
              </w:rPr>
              <w:fldChar w:fldCharType="begin"/>
            </w:r>
            <w:r w:rsidR="0055150A">
              <w:rPr>
                <w:noProof/>
                <w:webHidden/>
              </w:rPr>
              <w:instrText xml:space="preserve"> PAGEREF _Toc195192709 \h </w:instrText>
            </w:r>
            <w:r w:rsidR="0055150A">
              <w:rPr>
                <w:noProof/>
                <w:webHidden/>
              </w:rPr>
            </w:r>
            <w:r w:rsidR="0055150A">
              <w:rPr>
                <w:noProof/>
                <w:webHidden/>
              </w:rPr>
              <w:fldChar w:fldCharType="separate"/>
            </w:r>
            <w:r w:rsidR="0055150A">
              <w:rPr>
                <w:noProof/>
                <w:webHidden/>
              </w:rPr>
              <w:t>16</w:t>
            </w:r>
            <w:r w:rsidR="0055150A">
              <w:rPr>
                <w:noProof/>
                <w:webHidden/>
              </w:rPr>
              <w:fldChar w:fldCharType="end"/>
            </w:r>
          </w:hyperlink>
        </w:p>
        <w:p w14:paraId="545FF7B4" w14:textId="7A953F94" w:rsidR="0055150A" w:rsidRDefault="00A33EBF">
          <w:pPr>
            <w:pStyle w:val="TOC1"/>
            <w:tabs>
              <w:tab w:val="right" w:leader="dot" w:pos="9016"/>
            </w:tabs>
            <w:rPr>
              <w:noProof/>
            </w:rPr>
          </w:pPr>
          <w:hyperlink w:anchor="_Toc195192725" w:history="1">
            <w:r w:rsidR="0055150A" w:rsidRPr="0085508F">
              <w:rPr>
                <w:rStyle w:val="Hyperlink"/>
                <w:noProof/>
              </w:rPr>
              <w:t>Key Indicators</w:t>
            </w:r>
            <w:r w:rsidR="0055150A">
              <w:rPr>
                <w:noProof/>
                <w:webHidden/>
              </w:rPr>
              <w:tab/>
            </w:r>
            <w:r w:rsidR="0055150A">
              <w:rPr>
                <w:noProof/>
                <w:webHidden/>
              </w:rPr>
              <w:fldChar w:fldCharType="begin"/>
            </w:r>
            <w:r w:rsidR="0055150A">
              <w:rPr>
                <w:noProof/>
                <w:webHidden/>
              </w:rPr>
              <w:instrText xml:space="preserve"> PAGEREF _Toc195192725 \h </w:instrText>
            </w:r>
            <w:r w:rsidR="0055150A">
              <w:rPr>
                <w:noProof/>
                <w:webHidden/>
              </w:rPr>
            </w:r>
            <w:r w:rsidR="0055150A">
              <w:rPr>
                <w:noProof/>
                <w:webHidden/>
              </w:rPr>
              <w:fldChar w:fldCharType="separate"/>
            </w:r>
            <w:r w:rsidR="0055150A">
              <w:rPr>
                <w:noProof/>
                <w:webHidden/>
              </w:rPr>
              <w:t>22</w:t>
            </w:r>
            <w:r w:rsidR="0055150A">
              <w:rPr>
                <w:noProof/>
                <w:webHidden/>
              </w:rPr>
              <w:fldChar w:fldCharType="end"/>
            </w:r>
          </w:hyperlink>
        </w:p>
        <w:p w14:paraId="0A947284" w14:textId="4AB4FA1D" w:rsidR="0055150A" w:rsidRDefault="0055150A">
          <w:r>
            <w:rPr>
              <w:b/>
              <w:bCs/>
              <w:noProof/>
            </w:rPr>
            <w:fldChar w:fldCharType="end"/>
          </w:r>
        </w:p>
      </w:sdtContent>
    </w:sdt>
    <w:p w14:paraId="67BD2F9A" w14:textId="2B7B1065" w:rsidR="00922098" w:rsidRDefault="00922098" w:rsidP="00922098"/>
    <w:p w14:paraId="09BBD3BD" w14:textId="77777777" w:rsidR="00922098" w:rsidRDefault="00922098" w:rsidP="00922098"/>
    <w:p w14:paraId="4B4832F5" w14:textId="77777777" w:rsidR="00922098" w:rsidRDefault="00922098" w:rsidP="00922098"/>
    <w:p w14:paraId="0DCBC648" w14:textId="77777777" w:rsidR="00922098" w:rsidRDefault="00922098" w:rsidP="00922098"/>
    <w:p w14:paraId="71DA9B54" w14:textId="77777777" w:rsidR="00922098" w:rsidRDefault="00922098" w:rsidP="00922098"/>
    <w:p w14:paraId="2B52320B" w14:textId="77777777" w:rsidR="00922098" w:rsidRDefault="00922098" w:rsidP="00922098"/>
    <w:p w14:paraId="159BF57B" w14:textId="77777777" w:rsidR="00922098" w:rsidRDefault="00922098" w:rsidP="00922098"/>
    <w:p w14:paraId="79D4184C" w14:textId="77777777" w:rsidR="00922098" w:rsidRDefault="00922098" w:rsidP="00922098"/>
    <w:p w14:paraId="366BF2B9" w14:textId="77777777" w:rsidR="00922098" w:rsidRDefault="00922098" w:rsidP="00922098"/>
    <w:p w14:paraId="7318D0B1" w14:textId="77777777" w:rsidR="0055150A" w:rsidRDefault="0055150A" w:rsidP="00922098"/>
    <w:p w14:paraId="331E0AA2" w14:textId="77777777" w:rsidR="0055150A" w:rsidRDefault="0055150A" w:rsidP="00922098"/>
    <w:p w14:paraId="3EEEC266" w14:textId="77777777" w:rsidR="0055150A" w:rsidRDefault="0055150A" w:rsidP="00922098"/>
    <w:p w14:paraId="0C04874F" w14:textId="77777777" w:rsidR="0055150A" w:rsidRDefault="0055150A" w:rsidP="00922098"/>
    <w:p w14:paraId="761FFBB0" w14:textId="77777777" w:rsidR="0055150A" w:rsidRDefault="0055150A" w:rsidP="00922098"/>
    <w:p w14:paraId="195EFDC1" w14:textId="77777777" w:rsidR="0055150A" w:rsidRDefault="0055150A" w:rsidP="00922098"/>
    <w:p w14:paraId="76D2C081" w14:textId="646A7863" w:rsidR="00922098" w:rsidRDefault="00922098" w:rsidP="00922098">
      <w:r>
        <w:t>The Geelong Preventative Health Survey is undertaken every four years to help us better understand the health status of the Greater Geelong population and inform evidence-based planning and decision making across the municipality.</w:t>
      </w:r>
    </w:p>
    <w:p w14:paraId="243D6626" w14:textId="3FFB460D" w:rsidR="00922098" w:rsidRDefault="00922098" w:rsidP="00922098">
      <w:r>
        <w:t>The last survey was undertaken in 2021, and the 2024 survey provides updated data as well as data for new indicators.</w:t>
      </w:r>
    </w:p>
    <w:p w14:paraId="1D129D58" w14:textId="5804842B" w:rsidR="00922098" w:rsidRDefault="00A33EBF" w:rsidP="00922098">
      <w:hyperlink r:id="rId11" w:history="1">
        <w:r w:rsidR="00922098" w:rsidRPr="00A12A28">
          <w:rPr>
            <w:rStyle w:val="Hyperlink"/>
          </w:rPr>
          <w:t>www.geelongaustralia.com.au/gphs</w:t>
        </w:r>
      </w:hyperlink>
    </w:p>
    <w:p w14:paraId="260695F2" w14:textId="65B31E62" w:rsidR="00922098" w:rsidRDefault="00922098">
      <w:r>
        <w:br w:type="page"/>
      </w:r>
    </w:p>
    <w:p w14:paraId="23A17BA8" w14:textId="39322B1F" w:rsidR="00922098" w:rsidRDefault="00922098" w:rsidP="00922098">
      <w:pPr>
        <w:pStyle w:val="Heading1"/>
      </w:pPr>
      <w:bookmarkStart w:id="1" w:name="_Toc195192685"/>
      <w:r>
        <w:lastRenderedPageBreak/>
        <w:t>Introduction</w:t>
      </w:r>
      <w:bookmarkEnd w:id="1"/>
    </w:p>
    <w:p w14:paraId="0866E242" w14:textId="77777777" w:rsidR="00922098" w:rsidRDefault="00922098" w:rsidP="00922098">
      <w:pPr>
        <w:spacing w:before="100" w:after="200"/>
      </w:pPr>
      <w:r w:rsidRPr="004B61FA">
        <w:t xml:space="preserve">The Geelong Preventative Health Survey (GPHS) provides an important source of local data about health behaviours and other factors </w:t>
      </w:r>
      <w:r>
        <w:t xml:space="preserve">that influence community health and wellbeing. It is </w:t>
      </w:r>
      <w:r w:rsidRPr="004B61FA">
        <w:t xml:space="preserve">currently the </w:t>
      </w:r>
      <w:r w:rsidRPr="0072712A">
        <w:t>only</w:t>
      </w:r>
      <w:r w:rsidRPr="004B61FA">
        <w:t xml:space="preserve"> robust, statistically significant, local health and wellbeing survey which provides sub-LGA level data in Geelong and the Bellarine</w:t>
      </w:r>
      <w:r>
        <w:t>.</w:t>
      </w:r>
    </w:p>
    <w:p w14:paraId="6E02B20D" w14:textId="77777777" w:rsidR="00922098" w:rsidRPr="004B61FA" w:rsidRDefault="00922098" w:rsidP="00922098">
      <w:pPr>
        <w:spacing w:before="100" w:after="200"/>
      </w:pPr>
      <w:r>
        <w:t>The GPHS</w:t>
      </w:r>
      <w:r w:rsidRPr="004B61FA">
        <w:t xml:space="preserve"> focuses on key modifiable risk factors for health including healthy eating, physical activity, and psychological distress, as well as other determinants of health such as </w:t>
      </w:r>
      <w:r>
        <w:t>food security, safety</w:t>
      </w:r>
      <w:r w:rsidRPr="004B61FA">
        <w:t xml:space="preserve">, and climate change. </w:t>
      </w:r>
      <w:r>
        <w:t>In addition to this booklet, d</w:t>
      </w:r>
      <w:r w:rsidRPr="004B61FA">
        <w:t xml:space="preserve">ata </w:t>
      </w:r>
      <w:r>
        <w:t xml:space="preserve">is available </w:t>
      </w:r>
      <w:r w:rsidRPr="004B61FA">
        <w:t xml:space="preserve">at an LGA level on the </w:t>
      </w:r>
      <w:hyperlink r:id="rId12" w:history="1">
        <w:r w:rsidRPr="004B61FA">
          <w:rPr>
            <w:rStyle w:val="Hyperlink"/>
          </w:rPr>
          <w:t>Geelong Data Exchange</w:t>
        </w:r>
      </w:hyperlink>
      <w:r w:rsidRPr="004B61FA">
        <w:t xml:space="preserve">, and sub-LGA data is </w:t>
      </w:r>
      <w:r w:rsidRPr="00AC518B">
        <w:t>available upon request</w:t>
      </w:r>
      <w:r w:rsidRPr="004B61FA">
        <w:t>.</w:t>
      </w:r>
      <w:r>
        <w:t xml:space="preserve"> </w:t>
      </w:r>
    </w:p>
    <w:p w14:paraId="78757FC6" w14:textId="77777777" w:rsidR="00922098" w:rsidRPr="004B61FA" w:rsidRDefault="00922098" w:rsidP="00922098">
      <w:pPr>
        <w:spacing w:before="100" w:after="200"/>
      </w:pPr>
      <w:r w:rsidRPr="004B61FA">
        <w:t>The survey sample size is statistically significant for the municipality and enables the City to identify emerging issues and trends for the comparison of repeated health and wellbeing indicators over time. It provides a common evidence base to inform planning, with data collected to align with the 15 planning areas as outlined in the Social Infrastructure Plan</w:t>
      </w:r>
      <w:r>
        <w:t xml:space="preserve"> (refer to Appendix 2).</w:t>
      </w:r>
    </w:p>
    <w:p w14:paraId="4EB3D43A" w14:textId="77777777" w:rsidR="00922098" w:rsidRPr="004B61FA" w:rsidRDefault="00922098" w:rsidP="00922098">
      <w:pPr>
        <w:spacing w:before="100" w:after="200"/>
      </w:pPr>
      <w:r>
        <w:t xml:space="preserve">The GPHS was </w:t>
      </w:r>
      <w:r w:rsidRPr="004B61FA">
        <w:t>first conducted in 2017 and again in 2021</w:t>
      </w:r>
      <w:r>
        <w:t>.</w:t>
      </w:r>
      <w:r w:rsidRPr="004B61FA">
        <w:t xml:space="preserve"> With the 2021 survey heavily influenced by COVID</w:t>
      </w:r>
      <w:r>
        <w:t>-19</w:t>
      </w:r>
      <w:r w:rsidRPr="004B61FA">
        <w:t xml:space="preserve"> (both in the questions asked and responses provided), </w:t>
      </w:r>
      <w:r>
        <w:t xml:space="preserve">the 2024 iteration </w:t>
      </w:r>
      <w:r w:rsidRPr="004B61FA">
        <w:t>provide</w:t>
      </w:r>
      <w:r>
        <w:t>s</w:t>
      </w:r>
      <w:r w:rsidRPr="004B61FA">
        <w:t xml:space="preserve"> a more current dataset that reflects the health and wellbeing needs of our community today. </w:t>
      </w:r>
    </w:p>
    <w:p w14:paraId="63E1944D" w14:textId="77777777" w:rsidR="00922098" w:rsidRPr="004B61FA" w:rsidRDefault="00922098" w:rsidP="00922098">
      <w:pPr>
        <w:spacing w:before="100" w:after="200"/>
      </w:pPr>
      <w:r w:rsidRPr="004B61FA">
        <w:t xml:space="preserve">Despite the availability of </w:t>
      </w:r>
      <w:r>
        <w:t xml:space="preserve">health and wellbeing data at a local LGA level from other </w:t>
      </w:r>
      <w:r w:rsidRPr="004B61FA">
        <w:t>sources</w:t>
      </w:r>
      <w:r>
        <w:t xml:space="preserve"> such as the Victorian Population Health Survey (undertaken every three years), there is a lack of data available </w:t>
      </w:r>
      <w:r w:rsidRPr="004B61FA">
        <w:t>at suburb level.</w:t>
      </w:r>
      <w:r>
        <w:t xml:space="preserve"> This is important because there are health disparities at suburb level between different parts of the municipality (e.g., more residents in Planning Area 13 (Corio, Norlane, and North Shore) experience moderate to severe psychological distress (27%) compared to the residents of Planning Area 2 (Barwon Heads, Ocean Grove, Point Lonsdale, 3%). In addition, m</w:t>
      </w:r>
      <w:r w:rsidRPr="004B61FA">
        <w:t>ost data are point in time measures, and with sample sizes not statistically significant, and inconsistencies in questions and collection methods from year to year</w:t>
      </w:r>
      <w:r>
        <w:t xml:space="preserve">, </w:t>
      </w:r>
      <w:r w:rsidRPr="004B61FA">
        <w:t>data is not comparable over time. In the past</w:t>
      </w:r>
      <w:r>
        <w:t>, the City</w:t>
      </w:r>
      <w:r w:rsidRPr="004B61FA">
        <w:t xml:space="preserve"> ha</w:t>
      </w:r>
      <w:r>
        <w:t>s</w:t>
      </w:r>
      <w:r w:rsidRPr="004B61FA">
        <w:t xml:space="preserve"> relied on</w:t>
      </w:r>
      <w:r>
        <w:t xml:space="preserve"> other </w:t>
      </w:r>
      <w:r w:rsidRPr="004B61FA">
        <w:t>data sources which are then subject to change, or even discontinued</w:t>
      </w:r>
      <w:r>
        <w:t>.</w:t>
      </w:r>
    </w:p>
    <w:p w14:paraId="60034901" w14:textId="77777777" w:rsidR="00922098" w:rsidRPr="004B61FA" w:rsidRDefault="00922098" w:rsidP="00922098">
      <w:pPr>
        <w:spacing w:before="100" w:after="200"/>
      </w:pPr>
      <w:r>
        <w:t>T</w:t>
      </w:r>
      <w:r w:rsidRPr="004B61FA">
        <w:t xml:space="preserve">he City </w:t>
      </w:r>
      <w:r>
        <w:t xml:space="preserve">of Greater Geelong has </w:t>
      </w:r>
      <w:r w:rsidRPr="004B61FA">
        <w:t>invest</w:t>
      </w:r>
      <w:r>
        <w:t>ed</w:t>
      </w:r>
      <w:r w:rsidRPr="004B61FA">
        <w:t xml:space="preserve"> in the Geelong Preventative Health Survey</w:t>
      </w:r>
      <w:r>
        <w:t xml:space="preserve"> to </w:t>
      </w:r>
      <w:r w:rsidRPr="004B61FA">
        <w:t>address th</w:t>
      </w:r>
      <w:r>
        <w:t>ese i</w:t>
      </w:r>
      <w:r w:rsidRPr="004B61FA">
        <w:t>nconsistenc</w:t>
      </w:r>
      <w:r>
        <w:t>ies</w:t>
      </w:r>
      <w:r w:rsidRPr="004B61FA">
        <w:t xml:space="preserve"> and to </w:t>
      </w:r>
      <w:r>
        <w:t xml:space="preserve">provide </w:t>
      </w:r>
      <w:r w:rsidRPr="004B61FA">
        <w:t>access to the best possible local evidence to inform decision making</w:t>
      </w:r>
      <w:r>
        <w:t xml:space="preserve">. It will also provide direction about where to focus our efforts to improve the health and wellbeing of the community and will assist in identifying target population groups for our initiatives. </w:t>
      </w:r>
    </w:p>
    <w:p w14:paraId="79148EF1" w14:textId="77777777" w:rsidR="00922098" w:rsidRDefault="00922098" w:rsidP="00922098">
      <w:pPr>
        <w:spacing w:before="100" w:after="200"/>
      </w:pPr>
      <w:r>
        <w:t>The evidence provided by this survey suggests the following areas of focus to improve community health and wellbeing:</w:t>
      </w:r>
    </w:p>
    <w:p w14:paraId="24BC9CC1" w14:textId="77777777" w:rsidR="00922098" w:rsidRDefault="00922098" w:rsidP="00922098">
      <w:pPr>
        <w:pStyle w:val="ListParagraph"/>
        <w:numPr>
          <w:ilvl w:val="0"/>
          <w:numId w:val="1"/>
        </w:numPr>
        <w:spacing w:before="100" w:after="200" w:line="276" w:lineRule="auto"/>
      </w:pPr>
      <w:r>
        <w:t>Increasing fruit and vegetable intake.</w:t>
      </w:r>
    </w:p>
    <w:p w14:paraId="72D64C7C" w14:textId="77777777" w:rsidR="00922098" w:rsidRDefault="00922098" w:rsidP="00922098">
      <w:pPr>
        <w:pStyle w:val="ListParagraph"/>
        <w:numPr>
          <w:ilvl w:val="0"/>
          <w:numId w:val="1"/>
        </w:numPr>
        <w:spacing w:before="100" w:after="200" w:line="276" w:lineRule="auto"/>
      </w:pPr>
      <w:r>
        <w:t>Reducing lifetime harm from alcohol.</w:t>
      </w:r>
    </w:p>
    <w:p w14:paraId="22412FFA" w14:textId="77777777" w:rsidR="00922098" w:rsidRDefault="00922098" w:rsidP="00922098">
      <w:pPr>
        <w:pStyle w:val="ListParagraph"/>
        <w:numPr>
          <w:ilvl w:val="0"/>
          <w:numId w:val="1"/>
        </w:numPr>
        <w:spacing w:before="100" w:after="200" w:line="276" w:lineRule="auto"/>
      </w:pPr>
      <w:r>
        <w:t>Addressing the uptake of vaping in young people.</w:t>
      </w:r>
    </w:p>
    <w:p w14:paraId="39DA5845" w14:textId="77777777" w:rsidR="00922098" w:rsidRDefault="00922098" w:rsidP="00922098">
      <w:pPr>
        <w:pStyle w:val="ListParagraph"/>
        <w:numPr>
          <w:ilvl w:val="0"/>
          <w:numId w:val="1"/>
        </w:numPr>
        <w:spacing w:before="100" w:after="200" w:line="276" w:lineRule="auto"/>
      </w:pPr>
      <w:r>
        <w:t>Reducing loneliness and improving community connection, social inclusion, and mental wellbeing.</w:t>
      </w:r>
    </w:p>
    <w:p w14:paraId="08792FBA" w14:textId="77777777" w:rsidR="00922098" w:rsidRDefault="00922098" w:rsidP="00922098">
      <w:pPr>
        <w:pStyle w:val="ListParagraph"/>
        <w:numPr>
          <w:ilvl w:val="0"/>
          <w:numId w:val="1"/>
        </w:numPr>
        <w:spacing w:before="100" w:after="200" w:line="276" w:lineRule="auto"/>
      </w:pPr>
      <w:r>
        <w:t>Encouraging more physical activity amongst those who are sedentary.</w:t>
      </w:r>
    </w:p>
    <w:p w14:paraId="2C28B230" w14:textId="77777777" w:rsidR="00922098" w:rsidRDefault="00922098" w:rsidP="00922098">
      <w:pPr>
        <w:pStyle w:val="ListParagraph"/>
        <w:numPr>
          <w:ilvl w:val="0"/>
          <w:numId w:val="1"/>
        </w:numPr>
        <w:spacing w:before="100" w:after="200" w:line="276" w:lineRule="auto"/>
      </w:pPr>
      <w:r>
        <w:lastRenderedPageBreak/>
        <w:t>Addressing food insecurity and introducing measures to reduce cost of living pressures.</w:t>
      </w:r>
    </w:p>
    <w:p w14:paraId="30489715" w14:textId="77777777" w:rsidR="00922098" w:rsidRDefault="00922098" w:rsidP="00922098">
      <w:pPr>
        <w:spacing w:before="100" w:after="200"/>
      </w:pPr>
      <w:r>
        <w:t>The following indicators demonstrate the health disparities between different geographical locations within the municipality, and we can use this data to inform our interventions:</w:t>
      </w:r>
    </w:p>
    <w:p w14:paraId="6BD8CA95" w14:textId="77777777" w:rsidR="00922098" w:rsidRDefault="00922098" w:rsidP="00922098">
      <w:pPr>
        <w:pStyle w:val="ListParagraph"/>
        <w:numPr>
          <w:ilvl w:val="0"/>
          <w:numId w:val="2"/>
        </w:numPr>
        <w:spacing w:before="100" w:after="200" w:line="276" w:lineRule="auto"/>
      </w:pPr>
      <w:r>
        <w:t>More residents in planning areas 6 and 13 smoke (16%) when compared to planning areas 3 and 14 (5%)</w:t>
      </w:r>
    </w:p>
    <w:p w14:paraId="76E09AAE" w14:textId="77777777" w:rsidR="00922098" w:rsidRDefault="00922098" w:rsidP="00922098">
      <w:pPr>
        <w:pStyle w:val="ListParagraph"/>
        <w:numPr>
          <w:ilvl w:val="0"/>
          <w:numId w:val="2"/>
        </w:numPr>
        <w:spacing w:before="100" w:after="200" w:line="276" w:lineRule="auto"/>
      </w:pPr>
      <w:r>
        <w:t>More smokers in planning area 3 (42%) and 13 (31%) use vapes when compared to planning area 14 (8%)</w:t>
      </w:r>
    </w:p>
    <w:p w14:paraId="219AFC6D" w14:textId="77777777" w:rsidR="00922098" w:rsidRDefault="00922098" w:rsidP="00922098">
      <w:pPr>
        <w:pStyle w:val="ListParagraph"/>
        <w:numPr>
          <w:ilvl w:val="0"/>
          <w:numId w:val="2"/>
        </w:numPr>
        <w:spacing w:before="100" w:after="200" w:line="276" w:lineRule="auto"/>
      </w:pPr>
      <w:r>
        <w:t>More residents in planning areas 13 (46%), 1 (42%) and 11 (39%) are lonely when compared to the Greater Geelong average (25%) and this could be for a variety of reasons due to age, ability, socio economic status or geographic isolation.</w:t>
      </w:r>
    </w:p>
    <w:p w14:paraId="0CC26727" w14:textId="51D294C6" w:rsidR="00922098" w:rsidRDefault="00922098" w:rsidP="0055150A">
      <w:pPr>
        <w:pStyle w:val="ListParagraph"/>
        <w:numPr>
          <w:ilvl w:val="0"/>
          <w:numId w:val="2"/>
        </w:numPr>
      </w:pPr>
      <w:r>
        <w:t>30% of residents in planning area 13 worried they would run out of food in the previous 12 months compared to 3% in planning area 12.</w:t>
      </w:r>
    </w:p>
    <w:p w14:paraId="149F5036" w14:textId="77777777" w:rsidR="00922098" w:rsidRDefault="00922098" w:rsidP="00922098"/>
    <w:p w14:paraId="41B6236C" w14:textId="77777777" w:rsidR="00922098" w:rsidRDefault="00922098" w:rsidP="00922098"/>
    <w:p w14:paraId="712C262D" w14:textId="45C17313" w:rsidR="00922098" w:rsidRDefault="00922098">
      <w:r>
        <w:br w:type="page"/>
      </w:r>
    </w:p>
    <w:p w14:paraId="29687AF1" w14:textId="3CEFEE82" w:rsidR="00922098" w:rsidRDefault="00922098" w:rsidP="00922098">
      <w:pPr>
        <w:pStyle w:val="Heading1"/>
      </w:pPr>
      <w:bookmarkStart w:id="2" w:name="_Toc195192686"/>
      <w:r>
        <w:lastRenderedPageBreak/>
        <w:t>Summary Findings</w:t>
      </w:r>
      <w:bookmarkEnd w:id="2"/>
    </w:p>
    <w:p w14:paraId="22AB91EC" w14:textId="77777777" w:rsidR="00922098" w:rsidRDefault="00922098" w:rsidP="00922098"/>
    <w:p w14:paraId="7F2AEBD5" w14:textId="266E9628" w:rsidR="00F96E42" w:rsidRDefault="00F96E42" w:rsidP="0055150A">
      <w:pPr>
        <w:spacing w:before="40" w:after="40" w:line="276" w:lineRule="auto"/>
      </w:pPr>
    </w:p>
    <w:tbl>
      <w:tblPr>
        <w:tblStyle w:val="TableGrid"/>
        <w:tblW w:w="0" w:type="auto"/>
        <w:tblLook w:val="04A0" w:firstRow="1" w:lastRow="0" w:firstColumn="1" w:lastColumn="0" w:noHBand="0" w:noVBand="1"/>
      </w:tblPr>
      <w:tblGrid>
        <w:gridCol w:w="5240"/>
        <w:gridCol w:w="3776"/>
      </w:tblGrid>
      <w:tr w:rsidR="00F96E42" w14:paraId="107B8390" w14:textId="77777777" w:rsidTr="00F24183">
        <w:tc>
          <w:tcPr>
            <w:tcW w:w="5240" w:type="dxa"/>
            <w:shd w:val="clear" w:color="auto" w:fill="000000" w:themeFill="text1"/>
          </w:tcPr>
          <w:p w14:paraId="5AB5F1C2" w14:textId="7B8353F8" w:rsidR="00F96E42" w:rsidRDefault="00F24183" w:rsidP="00F24183">
            <w:pPr>
              <w:spacing w:before="40" w:after="40" w:line="276" w:lineRule="auto"/>
              <w:jc w:val="center"/>
            </w:pPr>
            <w:r>
              <w:t>Indicator</w:t>
            </w:r>
          </w:p>
        </w:tc>
        <w:tc>
          <w:tcPr>
            <w:tcW w:w="3776" w:type="dxa"/>
            <w:shd w:val="clear" w:color="auto" w:fill="000000" w:themeFill="text1"/>
          </w:tcPr>
          <w:p w14:paraId="11088FA6" w14:textId="1F5553D8" w:rsidR="00F96E42" w:rsidRDefault="00F24183" w:rsidP="00F24183">
            <w:pPr>
              <w:spacing w:line="276" w:lineRule="auto"/>
              <w:jc w:val="center"/>
            </w:pPr>
            <w:r>
              <w:t>2024 Result</w:t>
            </w:r>
          </w:p>
        </w:tc>
      </w:tr>
      <w:tr w:rsidR="00F96E42" w14:paraId="12E9A4F1" w14:textId="77777777" w:rsidTr="00F24183">
        <w:tc>
          <w:tcPr>
            <w:tcW w:w="5240" w:type="dxa"/>
          </w:tcPr>
          <w:p w14:paraId="6D72DDE3" w14:textId="1A907049" w:rsidR="00F96E42" w:rsidRDefault="00F96E42" w:rsidP="00F96E42">
            <w:pPr>
              <w:spacing w:before="10" w:after="10" w:line="276" w:lineRule="auto"/>
            </w:pPr>
            <w:r w:rsidRPr="0085130E">
              <w:rPr>
                <w:b/>
                <w:sz w:val="20"/>
              </w:rPr>
              <w:t>Self-reported health excellent / very good</w:t>
            </w:r>
          </w:p>
        </w:tc>
        <w:tc>
          <w:tcPr>
            <w:tcW w:w="3776" w:type="dxa"/>
          </w:tcPr>
          <w:p w14:paraId="6AB73E9B" w14:textId="7722DEE2" w:rsidR="00F96E42" w:rsidRDefault="00F96E42" w:rsidP="00F96E42">
            <w:pPr>
              <w:spacing w:before="40" w:after="40" w:line="276" w:lineRule="auto"/>
            </w:pPr>
            <w:r w:rsidRPr="00C44BA7">
              <w:rPr>
                <w:rFonts w:cs="Arial"/>
                <w:color w:val="010205"/>
                <w:sz w:val="18"/>
                <w:szCs w:val="18"/>
              </w:rPr>
              <w:t>51%</w:t>
            </w:r>
          </w:p>
        </w:tc>
      </w:tr>
      <w:tr w:rsidR="00F96E42" w14:paraId="656A0B8A" w14:textId="77777777" w:rsidTr="00F24183">
        <w:tc>
          <w:tcPr>
            <w:tcW w:w="5240" w:type="dxa"/>
          </w:tcPr>
          <w:p w14:paraId="286962DB" w14:textId="32305AE4" w:rsidR="00F96E42" w:rsidRDefault="00F96E42" w:rsidP="00F96E42">
            <w:pPr>
              <w:spacing w:before="10" w:after="10" w:line="276" w:lineRule="auto"/>
            </w:pPr>
            <w:r w:rsidRPr="0085130E">
              <w:rPr>
                <w:b/>
                <w:sz w:val="20"/>
              </w:rPr>
              <w:t>Satisfaction with life (7-10/10)</w:t>
            </w:r>
          </w:p>
        </w:tc>
        <w:tc>
          <w:tcPr>
            <w:tcW w:w="3776" w:type="dxa"/>
          </w:tcPr>
          <w:p w14:paraId="6E0232F6" w14:textId="0FCD6AE8" w:rsidR="00F96E42" w:rsidRDefault="00F96E42" w:rsidP="00F96E42">
            <w:pPr>
              <w:spacing w:before="40" w:after="40" w:line="276" w:lineRule="auto"/>
            </w:pPr>
            <w:r w:rsidRPr="00C44BA7">
              <w:rPr>
                <w:rFonts w:cs="Arial"/>
                <w:color w:val="010205"/>
                <w:sz w:val="18"/>
                <w:szCs w:val="18"/>
              </w:rPr>
              <w:t>78%</w:t>
            </w:r>
          </w:p>
        </w:tc>
      </w:tr>
      <w:tr w:rsidR="00F96E42" w14:paraId="6B4C0C32" w14:textId="77777777" w:rsidTr="00F24183">
        <w:tc>
          <w:tcPr>
            <w:tcW w:w="5240" w:type="dxa"/>
          </w:tcPr>
          <w:p w14:paraId="304996DC" w14:textId="041BA36A" w:rsidR="00F96E42" w:rsidRDefault="00F96E42" w:rsidP="00F96E42">
            <w:pPr>
              <w:spacing w:before="10" w:after="10" w:line="276" w:lineRule="auto"/>
            </w:pPr>
            <w:r w:rsidRPr="002E7087">
              <w:rPr>
                <w:b/>
                <w:sz w:val="20"/>
              </w:rPr>
              <w:t>High to very high psychological distress</w:t>
            </w:r>
          </w:p>
        </w:tc>
        <w:tc>
          <w:tcPr>
            <w:tcW w:w="3776" w:type="dxa"/>
          </w:tcPr>
          <w:p w14:paraId="122D34B7" w14:textId="568B01D9" w:rsidR="00F96E42" w:rsidRDefault="00F96E42" w:rsidP="00F96E42">
            <w:pPr>
              <w:spacing w:before="40" w:after="40" w:line="276" w:lineRule="auto"/>
            </w:pPr>
            <w:r w:rsidRPr="00C44BA7">
              <w:rPr>
                <w:sz w:val="18"/>
                <w:szCs w:val="18"/>
              </w:rPr>
              <w:t>13%</w:t>
            </w:r>
          </w:p>
        </w:tc>
      </w:tr>
      <w:tr w:rsidR="00F96E42" w14:paraId="7B7A2DB0" w14:textId="77777777" w:rsidTr="00F24183">
        <w:tc>
          <w:tcPr>
            <w:tcW w:w="5240" w:type="dxa"/>
          </w:tcPr>
          <w:p w14:paraId="5F7CD173" w14:textId="3358D108" w:rsidR="00F96E42" w:rsidRDefault="00F96E42" w:rsidP="00F96E42">
            <w:pPr>
              <w:spacing w:before="10" w:after="10" w:line="276" w:lineRule="auto"/>
            </w:pPr>
            <w:r w:rsidRPr="002E7087">
              <w:rPr>
                <w:b/>
                <w:sz w:val="20"/>
              </w:rPr>
              <w:t>Sought help for mental health</w:t>
            </w:r>
          </w:p>
        </w:tc>
        <w:tc>
          <w:tcPr>
            <w:tcW w:w="3776" w:type="dxa"/>
          </w:tcPr>
          <w:p w14:paraId="527C0936" w14:textId="2DD2CB2F" w:rsidR="00F96E42" w:rsidRDefault="00F96E42" w:rsidP="00F96E42">
            <w:pPr>
              <w:spacing w:before="40" w:after="40" w:line="276" w:lineRule="auto"/>
            </w:pPr>
            <w:r w:rsidRPr="00C44BA7">
              <w:rPr>
                <w:sz w:val="18"/>
                <w:szCs w:val="18"/>
              </w:rPr>
              <w:t>24%</w:t>
            </w:r>
          </w:p>
        </w:tc>
      </w:tr>
      <w:tr w:rsidR="00F96E42" w14:paraId="16ACEC09" w14:textId="77777777" w:rsidTr="00F24183">
        <w:tc>
          <w:tcPr>
            <w:tcW w:w="5240" w:type="dxa"/>
          </w:tcPr>
          <w:p w14:paraId="1937A74F" w14:textId="7157EA3C" w:rsidR="00F96E42" w:rsidRDefault="00F96E42" w:rsidP="00F96E42">
            <w:pPr>
              <w:spacing w:before="10" w:after="10" w:line="276" w:lineRule="auto"/>
            </w:pPr>
            <w:r w:rsidRPr="002E7087">
              <w:rPr>
                <w:b/>
                <w:sz w:val="20"/>
              </w:rPr>
              <w:t>Lonely</w:t>
            </w:r>
          </w:p>
        </w:tc>
        <w:tc>
          <w:tcPr>
            <w:tcW w:w="3776" w:type="dxa"/>
          </w:tcPr>
          <w:p w14:paraId="071A4A9C" w14:textId="0AC98C64" w:rsidR="00F96E42" w:rsidRDefault="00F96E42" w:rsidP="00F96E42">
            <w:pPr>
              <w:spacing w:before="40" w:after="40" w:line="276" w:lineRule="auto"/>
            </w:pPr>
            <w:r w:rsidRPr="00C44BA7">
              <w:rPr>
                <w:sz w:val="18"/>
                <w:szCs w:val="18"/>
              </w:rPr>
              <w:t>25%</w:t>
            </w:r>
          </w:p>
        </w:tc>
      </w:tr>
      <w:tr w:rsidR="00F96E42" w14:paraId="400F7050" w14:textId="77777777" w:rsidTr="00F24183">
        <w:tc>
          <w:tcPr>
            <w:tcW w:w="5240" w:type="dxa"/>
          </w:tcPr>
          <w:p w14:paraId="40EF1800" w14:textId="54C1E0D4" w:rsidR="00F96E42" w:rsidRDefault="00F96E42" w:rsidP="00F96E42">
            <w:pPr>
              <w:spacing w:before="10" w:after="10" w:line="276" w:lineRule="auto"/>
              <w:rPr>
                <w:b/>
                <w:sz w:val="20"/>
              </w:rPr>
            </w:pPr>
            <w:r>
              <w:rPr>
                <w:b/>
                <w:sz w:val="20"/>
              </w:rPr>
              <w:t>Drink 8+ glasses water a day</w:t>
            </w:r>
          </w:p>
        </w:tc>
        <w:tc>
          <w:tcPr>
            <w:tcW w:w="3776" w:type="dxa"/>
          </w:tcPr>
          <w:p w14:paraId="2F789596" w14:textId="77777777" w:rsidR="00F96E42" w:rsidRDefault="00F96E42" w:rsidP="00010E4A">
            <w:pPr>
              <w:spacing w:before="40" w:after="40" w:line="276" w:lineRule="auto"/>
            </w:pPr>
            <w:r w:rsidRPr="00C44BA7">
              <w:rPr>
                <w:sz w:val="18"/>
                <w:szCs w:val="18"/>
              </w:rPr>
              <w:t>42%</w:t>
            </w:r>
          </w:p>
        </w:tc>
      </w:tr>
      <w:tr w:rsidR="00F96E42" w14:paraId="3CDEE52B" w14:textId="77777777" w:rsidTr="00F24183">
        <w:tc>
          <w:tcPr>
            <w:tcW w:w="5240" w:type="dxa"/>
          </w:tcPr>
          <w:p w14:paraId="1BC9DD34" w14:textId="2CDB078C" w:rsidR="00F96E42" w:rsidRDefault="00F96E42" w:rsidP="00F96E42">
            <w:pPr>
              <w:spacing w:before="10" w:after="10" w:line="276" w:lineRule="auto"/>
              <w:rPr>
                <w:b/>
                <w:sz w:val="20"/>
              </w:rPr>
            </w:pPr>
            <w:r>
              <w:rPr>
                <w:b/>
                <w:sz w:val="20"/>
              </w:rPr>
              <w:t>Consume sugar sweetened drinks &gt;weekly</w:t>
            </w:r>
          </w:p>
        </w:tc>
        <w:tc>
          <w:tcPr>
            <w:tcW w:w="3776" w:type="dxa"/>
          </w:tcPr>
          <w:p w14:paraId="2A37E1D1" w14:textId="77777777" w:rsidR="00F96E42" w:rsidRDefault="00F96E42" w:rsidP="007B5B4C">
            <w:pPr>
              <w:spacing w:before="40" w:after="40" w:line="276" w:lineRule="auto"/>
            </w:pPr>
            <w:r w:rsidRPr="00C44BA7">
              <w:rPr>
                <w:sz w:val="18"/>
                <w:szCs w:val="18"/>
              </w:rPr>
              <w:t>29%</w:t>
            </w:r>
          </w:p>
        </w:tc>
      </w:tr>
      <w:tr w:rsidR="00F96E42" w14:paraId="037414B4" w14:textId="77777777" w:rsidTr="00F24183">
        <w:tc>
          <w:tcPr>
            <w:tcW w:w="5240" w:type="dxa"/>
          </w:tcPr>
          <w:p w14:paraId="166122E0" w14:textId="69BD5A3A" w:rsidR="00F96E42" w:rsidRDefault="00F96E42" w:rsidP="00F96E42">
            <w:pPr>
              <w:spacing w:before="10" w:after="10" w:line="276" w:lineRule="auto"/>
              <w:rPr>
                <w:b/>
                <w:sz w:val="20"/>
              </w:rPr>
            </w:pPr>
            <w:r>
              <w:rPr>
                <w:b/>
                <w:sz w:val="20"/>
              </w:rPr>
              <w:t>Eat takeaway more than weekly</w:t>
            </w:r>
          </w:p>
        </w:tc>
        <w:tc>
          <w:tcPr>
            <w:tcW w:w="3776" w:type="dxa"/>
          </w:tcPr>
          <w:p w14:paraId="2783B99A" w14:textId="77777777" w:rsidR="00F96E42" w:rsidRDefault="00F96E42" w:rsidP="00080A8F">
            <w:pPr>
              <w:spacing w:before="40" w:after="40" w:line="276" w:lineRule="auto"/>
            </w:pPr>
            <w:r>
              <w:rPr>
                <w:rFonts w:cs="Arial"/>
                <w:color w:val="010205"/>
                <w:sz w:val="18"/>
                <w:szCs w:val="18"/>
              </w:rPr>
              <w:t>16</w:t>
            </w:r>
            <w:r w:rsidRPr="00C44BA7">
              <w:rPr>
                <w:rFonts w:cs="Arial"/>
                <w:color w:val="010205"/>
                <w:sz w:val="18"/>
                <w:szCs w:val="18"/>
              </w:rPr>
              <w:t>%</w:t>
            </w:r>
          </w:p>
        </w:tc>
      </w:tr>
      <w:tr w:rsidR="00F96E42" w14:paraId="76E3C1D8" w14:textId="77777777" w:rsidTr="00F24183">
        <w:tc>
          <w:tcPr>
            <w:tcW w:w="5240" w:type="dxa"/>
          </w:tcPr>
          <w:p w14:paraId="4616B09D" w14:textId="203B5124" w:rsidR="00F96E42" w:rsidRDefault="00F96E42" w:rsidP="00F96E42">
            <w:pPr>
              <w:spacing w:before="10" w:after="10" w:line="276" w:lineRule="auto"/>
              <w:rPr>
                <w:b/>
                <w:sz w:val="20"/>
              </w:rPr>
            </w:pPr>
            <w:r>
              <w:rPr>
                <w:b/>
                <w:sz w:val="20"/>
              </w:rPr>
              <w:t>Met fruit guidelines</w:t>
            </w:r>
          </w:p>
        </w:tc>
        <w:tc>
          <w:tcPr>
            <w:tcW w:w="3776" w:type="dxa"/>
          </w:tcPr>
          <w:p w14:paraId="6F825AD6" w14:textId="77777777" w:rsidR="00F96E42" w:rsidRDefault="00F96E42" w:rsidP="00A628B4">
            <w:pPr>
              <w:spacing w:before="40" w:after="40" w:line="276" w:lineRule="auto"/>
            </w:pPr>
            <w:r w:rsidRPr="00C44BA7">
              <w:rPr>
                <w:rFonts w:cs="Arial"/>
                <w:color w:val="010205"/>
                <w:sz w:val="18"/>
                <w:szCs w:val="18"/>
              </w:rPr>
              <w:t>50%</w:t>
            </w:r>
          </w:p>
        </w:tc>
      </w:tr>
      <w:tr w:rsidR="00F96E42" w14:paraId="6AF39989" w14:textId="77777777" w:rsidTr="00F24183">
        <w:tc>
          <w:tcPr>
            <w:tcW w:w="5240" w:type="dxa"/>
          </w:tcPr>
          <w:p w14:paraId="238111E9" w14:textId="1EA4A567" w:rsidR="00F96E42" w:rsidRDefault="00F96E42" w:rsidP="00F96E42">
            <w:pPr>
              <w:spacing w:before="10" w:after="10" w:line="276" w:lineRule="auto"/>
            </w:pPr>
            <w:r>
              <w:rPr>
                <w:b/>
                <w:sz w:val="20"/>
              </w:rPr>
              <w:t>Met veg guidelines</w:t>
            </w:r>
          </w:p>
        </w:tc>
        <w:tc>
          <w:tcPr>
            <w:tcW w:w="3776" w:type="dxa"/>
          </w:tcPr>
          <w:p w14:paraId="2998EE1D" w14:textId="47621FEF" w:rsidR="00F96E42" w:rsidRDefault="00F96E42" w:rsidP="00F96E42">
            <w:pPr>
              <w:spacing w:before="40" w:after="40" w:line="276" w:lineRule="auto"/>
            </w:pPr>
            <w:r w:rsidRPr="00C44BA7">
              <w:rPr>
                <w:rFonts w:cs="Arial"/>
                <w:color w:val="010205"/>
                <w:sz w:val="18"/>
                <w:szCs w:val="18"/>
              </w:rPr>
              <w:t>14%</w:t>
            </w:r>
          </w:p>
        </w:tc>
      </w:tr>
      <w:tr w:rsidR="00F96E42" w14:paraId="25FA896F" w14:textId="77777777" w:rsidTr="00F24183">
        <w:tc>
          <w:tcPr>
            <w:tcW w:w="5240" w:type="dxa"/>
          </w:tcPr>
          <w:p w14:paraId="406B6C95" w14:textId="621FF098" w:rsidR="00F96E42" w:rsidRDefault="00F96E42" w:rsidP="00F96E42">
            <w:pPr>
              <w:spacing w:before="10" w:after="10" w:line="276" w:lineRule="auto"/>
              <w:rPr>
                <w:b/>
                <w:sz w:val="20"/>
              </w:rPr>
            </w:pPr>
            <w:r w:rsidRPr="002E7087">
              <w:rPr>
                <w:b/>
                <w:sz w:val="20"/>
              </w:rPr>
              <w:t>Met physical activity guidelines</w:t>
            </w:r>
          </w:p>
        </w:tc>
        <w:tc>
          <w:tcPr>
            <w:tcW w:w="3776" w:type="dxa"/>
          </w:tcPr>
          <w:p w14:paraId="743164F2" w14:textId="498347AB" w:rsidR="00F96E42" w:rsidRDefault="00F96E42" w:rsidP="00F96E42">
            <w:pPr>
              <w:spacing w:before="40" w:after="40" w:line="276" w:lineRule="auto"/>
            </w:pPr>
            <w:r w:rsidRPr="00720DE1">
              <w:rPr>
                <w:sz w:val="20"/>
              </w:rPr>
              <w:t>6</w:t>
            </w:r>
            <w:r>
              <w:rPr>
                <w:sz w:val="20"/>
              </w:rPr>
              <w:t>5</w:t>
            </w:r>
            <w:r w:rsidRPr="00720DE1">
              <w:rPr>
                <w:sz w:val="20"/>
              </w:rPr>
              <w:t>%</w:t>
            </w:r>
          </w:p>
        </w:tc>
      </w:tr>
      <w:tr w:rsidR="00F96E42" w14:paraId="516742C8" w14:textId="77777777" w:rsidTr="00F24183">
        <w:tc>
          <w:tcPr>
            <w:tcW w:w="5240" w:type="dxa"/>
          </w:tcPr>
          <w:p w14:paraId="22186247" w14:textId="061C510A" w:rsidR="00F96E42" w:rsidRPr="002E7087" w:rsidRDefault="00F96E42" w:rsidP="00F96E42">
            <w:pPr>
              <w:spacing w:before="10" w:after="10" w:line="276" w:lineRule="auto"/>
              <w:rPr>
                <w:b/>
                <w:sz w:val="20"/>
              </w:rPr>
            </w:pPr>
            <w:r>
              <w:rPr>
                <w:b/>
                <w:sz w:val="20"/>
              </w:rPr>
              <w:t>Walk for exercise weekly</w:t>
            </w:r>
          </w:p>
        </w:tc>
        <w:tc>
          <w:tcPr>
            <w:tcW w:w="3776" w:type="dxa"/>
          </w:tcPr>
          <w:p w14:paraId="1C7F0ECB" w14:textId="7F827DFE" w:rsidR="00F96E42" w:rsidRPr="00720DE1" w:rsidRDefault="00F96E42" w:rsidP="00F96E42">
            <w:pPr>
              <w:spacing w:before="40" w:after="40" w:line="276" w:lineRule="auto"/>
              <w:rPr>
                <w:sz w:val="20"/>
              </w:rPr>
            </w:pPr>
            <w:r>
              <w:rPr>
                <w:sz w:val="20"/>
              </w:rPr>
              <w:t>78%</w:t>
            </w:r>
          </w:p>
        </w:tc>
      </w:tr>
      <w:tr w:rsidR="00F96E42" w14:paraId="0291C5A7" w14:textId="77777777" w:rsidTr="00F24183">
        <w:tc>
          <w:tcPr>
            <w:tcW w:w="5240" w:type="dxa"/>
          </w:tcPr>
          <w:p w14:paraId="4C451010" w14:textId="6277ACCD" w:rsidR="00F96E42" w:rsidRPr="002E7087" w:rsidRDefault="00F96E42" w:rsidP="00F96E42">
            <w:pPr>
              <w:spacing w:before="10" w:after="10" w:line="276" w:lineRule="auto"/>
              <w:rPr>
                <w:b/>
                <w:sz w:val="20"/>
              </w:rPr>
            </w:pPr>
            <w:r>
              <w:rPr>
                <w:b/>
                <w:sz w:val="20"/>
              </w:rPr>
              <w:t>Walk for exercise daily</w:t>
            </w:r>
          </w:p>
        </w:tc>
        <w:tc>
          <w:tcPr>
            <w:tcW w:w="3776" w:type="dxa"/>
          </w:tcPr>
          <w:p w14:paraId="108612F4" w14:textId="22BD5AD5" w:rsidR="00F96E42" w:rsidRPr="00720DE1" w:rsidRDefault="00F96E42" w:rsidP="00F96E42">
            <w:pPr>
              <w:spacing w:before="40" w:after="40" w:line="276" w:lineRule="auto"/>
              <w:rPr>
                <w:sz w:val="20"/>
              </w:rPr>
            </w:pPr>
            <w:r>
              <w:rPr>
                <w:sz w:val="20"/>
              </w:rPr>
              <w:t>32%</w:t>
            </w:r>
          </w:p>
        </w:tc>
      </w:tr>
      <w:tr w:rsidR="00F96E42" w14:paraId="7E446F79" w14:textId="77777777" w:rsidTr="00F24183">
        <w:tc>
          <w:tcPr>
            <w:tcW w:w="5240" w:type="dxa"/>
          </w:tcPr>
          <w:p w14:paraId="40DCF445" w14:textId="67984622" w:rsidR="00F96E42" w:rsidRDefault="00F96E42" w:rsidP="00F96E42">
            <w:pPr>
              <w:spacing w:before="10" w:after="10" w:line="276" w:lineRule="auto"/>
              <w:rPr>
                <w:b/>
                <w:sz w:val="20"/>
              </w:rPr>
            </w:pPr>
            <w:r>
              <w:rPr>
                <w:b/>
                <w:sz w:val="20"/>
              </w:rPr>
              <w:t>Cycle for exercise weekly</w:t>
            </w:r>
          </w:p>
        </w:tc>
        <w:tc>
          <w:tcPr>
            <w:tcW w:w="3776" w:type="dxa"/>
          </w:tcPr>
          <w:p w14:paraId="7793DAF9" w14:textId="77A660E9" w:rsidR="00F96E42" w:rsidRDefault="00F96E42" w:rsidP="00F96E42">
            <w:pPr>
              <w:spacing w:before="40" w:after="40" w:line="276" w:lineRule="auto"/>
              <w:rPr>
                <w:sz w:val="20"/>
              </w:rPr>
            </w:pPr>
            <w:r>
              <w:rPr>
                <w:sz w:val="20"/>
              </w:rPr>
              <w:t>17%</w:t>
            </w:r>
          </w:p>
        </w:tc>
      </w:tr>
      <w:tr w:rsidR="00F96E42" w14:paraId="1408F4B5" w14:textId="77777777" w:rsidTr="00F24183">
        <w:tc>
          <w:tcPr>
            <w:tcW w:w="5240" w:type="dxa"/>
          </w:tcPr>
          <w:p w14:paraId="2D75ED8D" w14:textId="5B2377ED" w:rsidR="00F96E42" w:rsidRDefault="00F96E42" w:rsidP="00F96E42">
            <w:pPr>
              <w:spacing w:before="10" w:after="10" w:line="276" w:lineRule="auto"/>
              <w:rPr>
                <w:b/>
                <w:sz w:val="20"/>
              </w:rPr>
            </w:pPr>
            <w:r>
              <w:rPr>
                <w:b/>
                <w:sz w:val="20"/>
              </w:rPr>
              <w:t>Classified as o</w:t>
            </w:r>
            <w:r w:rsidRPr="002E7087">
              <w:rPr>
                <w:b/>
                <w:sz w:val="20"/>
              </w:rPr>
              <w:t>bese</w:t>
            </w:r>
          </w:p>
        </w:tc>
        <w:tc>
          <w:tcPr>
            <w:tcW w:w="3776" w:type="dxa"/>
          </w:tcPr>
          <w:p w14:paraId="20270574" w14:textId="0E92D23B" w:rsidR="00F96E42" w:rsidRDefault="00F96E42" w:rsidP="00F96E42">
            <w:pPr>
              <w:spacing w:before="40" w:after="40" w:line="276" w:lineRule="auto"/>
            </w:pPr>
            <w:r w:rsidRPr="00720DE1">
              <w:rPr>
                <w:sz w:val="20"/>
              </w:rPr>
              <w:t>28%</w:t>
            </w:r>
          </w:p>
        </w:tc>
      </w:tr>
      <w:tr w:rsidR="00F96E42" w14:paraId="214308CD" w14:textId="77777777" w:rsidTr="00F24183">
        <w:tc>
          <w:tcPr>
            <w:tcW w:w="5240" w:type="dxa"/>
          </w:tcPr>
          <w:p w14:paraId="788B06C9" w14:textId="06A9EFDA" w:rsidR="00F96E42" w:rsidRDefault="00F96E42" w:rsidP="00F96E42">
            <w:pPr>
              <w:spacing w:before="10" w:after="10" w:line="276" w:lineRule="auto"/>
              <w:rPr>
                <w:b/>
                <w:sz w:val="20"/>
              </w:rPr>
            </w:pPr>
            <w:r>
              <w:rPr>
                <w:b/>
                <w:sz w:val="20"/>
              </w:rPr>
              <w:t>Classified as sedentary</w:t>
            </w:r>
          </w:p>
        </w:tc>
        <w:tc>
          <w:tcPr>
            <w:tcW w:w="3776" w:type="dxa"/>
          </w:tcPr>
          <w:p w14:paraId="08904210" w14:textId="163EFE6A" w:rsidR="00F96E42" w:rsidRPr="00720DE1" w:rsidRDefault="00F96E42" w:rsidP="00F96E42">
            <w:pPr>
              <w:spacing w:before="40" w:after="40" w:line="276" w:lineRule="auto"/>
              <w:rPr>
                <w:sz w:val="20"/>
              </w:rPr>
            </w:pPr>
            <w:r>
              <w:rPr>
                <w:sz w:val="20"/>
              </w:rPr>
              <w:t>20%</w:t>
            </w:r>
          </w:p>
        </w:tc>
      </w:tr>
      <w:tr w:rsidR="00F96E42" w14:paraId="7B729FB0" w14:textId="77777777" w:rsidTr="00F24183">
        <w:tc>
          <w:tcPr>
            <w:tcW w:w="5240" w:type="dxa"/>
          </w:tcPr>
          <w:p w14:paraId="16CA12CF" w14:textId="72B3A0E4" w:rsidR="00F96E42" w:rsidRDefault="00F96E42" w:rsidP="00F96E42">
            <w:pPr>
              <w:spacing w:before="10" w:after="10" w:line="276" w:lineRule="auto"/>
              <w:rPr>
                <w:b/>
                <w:sz w:val="20"/>
              </w:rPr>
            </w:pPr>
            <w:r w:rsidRPr="002E7087">
              <w:rPr>
                <w:b/>
                <w:sz w:val="20"/>
              </w:rPr>
              <w:t>Alcohol – long term risk</w:t>
            </w:r>
          </w:p>
        </w:tc>
        <w:tc>
          <w:tcPr>
            <w:tcW w:w="3776" w:type="dxa"/>
          </w:tcPr>
          <w:p w14:paraId="6140510F" w14:textId="2EAB18D7" w:rsidR="00F96E42" w:rsidRDefault="00F96E42" w:rsidP="00F96E42">
            <w:pPr>
              <w:spacing w:before="40" w:after="40" w:line="276" w:lineRule="auto"/>
            </w:pPr>
            <w:r w:rsidRPr="00720DE1">
              <w:rPr>
                <w:sz w:val="20"/>
              </w:rPr>
              <w:t>1</w:t>
            </w:r>
            <w:r>
              <w:rPr>
                <w:sz w:val="20"/>
              </w:rPr>
              <w:t>7</w:t>
            </w:r>
            <w:r w:rsidRPr="00720DE1">
              <w:rPr>
                <w:sz w:val="20"/>
              </w:rPr>
              <w:t>%</w:t>
            </w:r>
          </w:p>
        </w:tc>
      </w:tr>
      <w:tr w:rsidR="00F96E42" w14:paraId="224CD2C3" w14:textId="77777777" w:rsidTr="00F24183">
        <w:tc>
          <w:tcPr>
            <w:tcW w:w="5240" w:type="dxa"/>
          </w:tcPr>
          <w:p w14:paraId="3D62BFBB" w14:textId="70303FF0" w:rsidR="00F96E42" w:rsidRDefault="00F96E42" w:rsidP="00F96E42">
            <w:pPr>
              <w:spacing w:before="10" w:after="10" w:line="276" w:lineRule="auto"/>
              <w:rPr>
                <w:b/>
                <w:sz w:val="20"/>
              </w:rPr>
            </w:pPr>
            <w:r w:rsidRPr="002E7087">
              <w:rPr>
                <w:b/>
                <w:sz w:val="20"/>
              </w:rPr>
              <w:t>Alcohol – short term risk</w:t>
            </w:r>
          </w:p>
        </w:tc>
        <w:tc>
          <w:tcPr>
            <w:tcW w:w="3776" w:type="dxa"/>
          </w:tcPr>
          <w:p w14:paraId="1062330A" w14:textId="2A177193" w:rsidR="00F96E42" w:rsidRDefault="00F96E42" w:rsidP="00F96E42">
            <w:pPr>
              <w:spacing w:before="40" w:after="40" w:line="276" w:lineRule="auto"/>
            </w:pPr>
            <w:r w:rsidRPr="00720DE1">
              <w:rPr>
                <w:sz w:val="20"/>
              </w:rPr>
              <w:t>11%</w:t>
            </w:r>
          </w:p>
        </w:tc>
      </w:tr>
      <w:tr w:rsidR="00F96E42" w14:paraId="7A11A0EC" w14:textId="77777777" w:rsidTr="00F24183">
        <w:tc>
          <w:tcPr>
            <w:tcW w:w="5240" w:type="dxa"/>
          </w:tcPr>
          <w:p w14:paraId="6539D101" w14:textId="1CED748F" w:rsidR="00F96E42" w:rsidRDefault="00F96E42" w:rsidP="00F96E42">
            <w:pPr>
              <w:spacing w:before="10" w:after="10" w:line="276" w:lineRule="auto"/>
              <w:rPr>
                <w:b/>
                <w:sz w:val="20"/>
              </w:rPr>
            </w:pPr>
            <w:r>
              <w:rPr>
                <w:b/>
                <w:sz w:val="20"/>
              </w:rPr>
              <w:t>Smoke cigarettes or vaper</w:t>
            </w:r>
          </w:p>
        </w:tc>
        <w:tc>
          <w:tcPr>
            <w:tcW w:w="3776" w:type="dxa"/>
          </w:tcPr>
          <w:p w14:paraId="76140BB2" w14:textId="606CE459" w:rsidR="00F96E42" w:rsidRDefault="00F96E42" w:rsidP="00F96E42">
            <w:pPr>
              <w:spacing w:before="40" w:after="40" w:line="276" w:lineRule="auto"/>
            </w:pPr>
            <w:r w:rsidRPr="00720DE1">
              <w:rPr>
                <w:rFonts w:cs="Arial"/>
                <w:color w:val="010205"/>
                <w:sz w:val="20"/>
                <w:szCs w:val="18"/>
              </w:rPr>
              <w:t>10%</w:t>
            </w:r>
          </w:p>
        </w:tc>
      </w:tr>
      <w:tr w:rsidR="00F96E42" w14:paraId="486F7AB4" w14:textId="77777777" w:rsidTr="00F24183">
        <w:tc>
          <w:tcPr>
            <w:tcW w:w="5240" w:type="dxa"/>
          </w:tcPr>
          <w:p w14:paraId="2472FF1E" w14:textId="6FB9780E" w:rsidR="00F96E42" w:rsidRDefault="00F96E42" w:rsidP="00F96E42">
            <w:pPr>
              <w:spacing w:before="10" w:after="10" w:line="276" w:lineRule="auto"/>
              <w:rPr>
                <w:b/>
                <w:sz w:val="20"/>
              </w:rPr>
            </w:pPr>
            <w:r>
              <w:rPr>
                <w:b/>
                <w:sz w:val="20"/>
              </w:rPr>
              <w:t>Young adults (18-24) who vape*</w:t>
            </w:r>
          </w:p>
        </w:tc>
        <w:tc>
          <w:tcPr>
            <w:tcW w:w="3776" w:type="dxa"/>
          </w:tcPr>
          <w:p w14:paraId="6AB1F777" w14:textId="0764D462" w:rsidR="00F96E42" w:rsidRPr="00720DE1" w:rsidRDefault="00F96E42" w:rsidP="00F96E42">
            <w:pPr>
              <w:spacing w:before="40" w:after="40" w:line="276" w:lineRule="auto"/>
              <w:rPr>
                <w:rFonts w:cs="Arial"/>
                <w:color w:val="010205"/>
                <w:sz w:val="20"/>
                <w:szCs w:val="18"/>
              </w:rPr>
            </w:pPr>
            <w:r>
              <w:rPr>
                <w:rFonts w:cs="Arial"/>
                <w:color w:val="010205"/>
                <w:sz w:val="20"/>
                <w:szCs w:val="18"/>
              </w:rPr>
              <w:t>10%</w:t>
            </w:r>
          </w:p>
        </w:tc>
      </w:tr>
      <w:tr w:rsidR="00F96E42" w14:paraId="486E18C2" w14:textId="77777777" w:rsidTr="00F24183">
        <w:tc>
          <w:tcPr>
            <w:tcW w:w="5240" w:type="dxa"/>
          </w:tcPr>
          <w:p w14:paraId="23889318" w14:textId="27A02C5C" w:rsidR="00F96E42" w:rsidRDefault="008E70D3" w:rsidP="00F96E42">
            <w:pPr>
              <w:spacing w:before="10" w:after="10" w:line="276" w:lineRule="auto"/>
              <w:rPr>
                <w:b/>
                <w:sz w:val="20"/>
              </w:rPr>
            </w:pPr>
            <w:r>
              <w:rPr>
                <w:b/>
                <w:sz w:val="20"/>
              </w:rPr>
              <w:t xml:space="preserve">Can call on someone in </w:t>
            </w:r>
            <w:r w:rsidR="00F96E42">
              <w:rPr>
                <w:b/>
                <w:sz w:val="20"/>
              </w:rPr>
              <w:t>emergency</w:t>
            </w:r>
          </w:p>
        </w:tc>
        <w:tc>
          <w:tcPr>
            <w:tcW w:w="3776" w:type="dxa"/>
          </w:tcPr>
          <w:p w14:paraId="497FD729" w14:textId="4C812344" w:rsidR="00F96E42" w:rsidRDefault="00F96E42" w:rsidP="00F96E42">
            <w:pPr>
              <w:spacing w:before="40" w:after="40" w:line="276" w:lineRule="auto"/>
            </w:pPr>
            <w:r w:rsidRPr="00720DE1">
              <w:rPr>
                <w:rFonts w:cs="Arial"/>
                <w:color w:val="010205"/>
                <w:sz w:val="20"/>
                <w:szCs w:val="18"/>
              </w:rPr>
              <w:t>84%</w:t>
            </w:r>
          </w:p>
        </w:tc>
      </w:tr>
      <w:tr w:rsidR="00F96E42" w14:paraId="52C67244" w14:textId="77777777" w:rsidTr="00F24183">
        <w:tc>
          <w:tcPr>
            <w:tcW w:w="5240" w:type="dxa"/>
          </w:tcPr>
          <w:p w14:paraId="1F8289A3" w14:textId="6048D066" w:rsidR="00F96E42" w:rsidRDefault="00F96E42" w:rsidP="00F96E42">
            <w:pPr>
              <w:spacing w:before="10" w:after="10" w:line="276" w:lineRule="auto"/>
              <w:rPr>
                <w:b/>
                <w:sz w:val="20"/>
              </w:rPr>
            </w:pPr>
            <w:r>
              <w:rPr>
                <w:b/>
                <w:sz w:val="20"/>
              </w:rPr>
              <w:t>C</w:t>
            </w:r>
            <w:r w:rsidR="008E70D3">
              <w:rPr>
                <w:b/>
                <w:sz w:val="20"/>
              </w:rPr>
              <w:t xml:space="preserve">an raise </w:t>
            </w:r>
            <w:r>
              <w:rPr>
                <w:b/>
                <w:sz w:val="20"/>
              </w:rPr>
              <w:t>$2</w:t>
            </w:r>
            <w:r w:rsidR="008E70D3">
              <w:rPr>
                <w:b/>
                <w:sz w:val="20"/>
              </w:rPr>
              <w:t>,000</w:t>
            </w:r>
            <w:r>
              <w:rPr>
                <w:b/>
                <w:sz w:val="20"/>
              </w:rPr>
              <w:t xml:space="preserve"> in</w:t>
            </w:r>
            <w:r w:rsidR="008E70D3">
              <w:rPr>
                <w:b/>
                <w:sz w:val="20"/>
              </w:rPr>
              <w:t xml:space="preserve"> two</w:t>
            </w:r>
            <w:r>
              <w:rPr>
                <w:b/>
                <w:sz w:val="20"/>
              </w:rPr>
              <w:t xml:space="preserve"> days</w:t>
            </w:r>
          </w:p>
        </w:tc>
        <w:tc>
          <w:tcPr>
            <w:tcW w:w="3776" w:type="dxa"/>
          </w:tcPr>
          <w:p w14:paraId="6DE70562" w14:textId="1132C7FD" w:rsidR="00F96E42" w:rsidRDefault="00F96E42" w:rsidP="00F96E42">
            <w:pPr>
              <w:spacing w:before="40" w:after="40" w:line="276" w:lineRule="auto"/>
            </w:pPr>
            <w:r w:rsidRPr="00720DE1">
              <w:rPr>
                <w:rFonts w:cs="Arial"/>
                <w:color w:val="010205"/>
                <w:sz w:val="20"/>
                <w:szCs w:val="18"/>
              </w:rPr>
              <w:t>80%</w:t>
            </w:r>
          </w:p>
        </w:tc>
      </w:tr>
      <w:tr w:rsidR="00F96E42" w14:paraId="48E17F1B" w14:textId="77777777" w:rsidTr="00F24183">
        <w:tc>
          <w:tcPr>
            <w:tcW w:w="5240" w:type="dxa"/>
          </w:tcPr>
          <w:p w14:paraId="48EA522D" w14:textId="61A543C8" w:rsidR="00F96E42" w:rsidRDefault="00F96E42" w:rsidP="00F96E42">
            <w:pPr>
              <w:spacing w:before="10" w:after="10" w:line="276" w:lineRule="auto"/>
              <w:rPr>
                <w:b/>
                <w:sz w:val="20"/>
              </w:rPr>
            </w:pPr>
            <w:r>
              <w:rPr>
                <w:b/>
                <w:sz w:val="20"/>
              </w:rPr>
              <w:t>Ran out of food</w:t>
            </w:r>
            <w:r w:rsidR="008E70D3">
              <w:rPr>
                <w:b/>
                <w:sz w:val="20"/>
              </w:rPr>
              <w:t xml:space="preserve"> and couldn’t afford to buy more</w:t>
            </w:r>
          </w:p>
        </w:tc>
        <w:tc>
          <w:tcPr>
            <w:tcW w:w="3776" w:type="dxa"/>
          </w:tcPr>
          <w:p w14:paraId="605F7392" w14:textId="642EF80B" w:rsidR="00F96E42" w:rsidRDefault="00F96E42" w:rsidP="00F96E42">
            <w:pPr>
              <w:spacing w:before="40" w:after="40" w:line="276" w:lineRule="auto"/>
            </w:pPr>
            <w:r w:rsidRPr="00720DE1">
              <w:rPr>
                <w:rFonts w:cs="Arial"/>
                <w:color w:val="010205"/>
                <w:sz w:val="20"/>
                <w:szCs w:val="18"/>
              </w:rPr>
              <w:t>8%</w:t>
            </w:r>
          </w:p>
        </w:tc>
      </w:tr>
      <w:tr w:rsidR="00F96E42" w14:paraId="62A8C2C4" w14:textId="77777777" w:rsidTr="00F24183">
        <w:tc>
          <w:tcPr>
            <w:tcW w:w="5240" w:type="dxa"/>
          </w:tcPr>
          <w:p w14:paraId="0E77F57F" w14:textId="676F84A5" w:rsidR="00F96E42" w:rsidRDefault="00F96E42" w:rsidP="00F96E42">
            <w:pPr>
              <w:spacing w:before="10" w:after="10" w:line="276" w:lineRule="auto"/>
              <w:rPr>
                <w:b/>
                <w:sz w:val="20"/>
              </w:rPr>
            </w:pPr>
            <w:r>
              <w:rPr>
                <w:b/>
                <w:sz w:val="20"/>
              </w:rPr>
              <w:t>Worried about running out of food</w:t>
            </w:r>
          </w:p>
        </w:tc>
        <w:tc>
          <w:tcPr>
            <w:tcW w:w="3776" w:type="dxa"/>
          </w:tcPr>
          <w:p w14:paraId="2B11BDBD" w14:textId="7FE1B57E" w:rsidR="00F96E42" w:rsidRDefault="008E70D3" w:rsidP="00F96E42">
            <w:pPr>
              <w:spacing w:before="40" w:after="40" w:line="276" w:lineRule="auto"/>
            </w:pPr>
            <w:r>
              <w:rPr>
                <w:rFonts w:cs="Arial"/>
                <w:color w:val="010205"/>
                <w:sz w:val="20"/>
                <w:szCs w:val="18"/>
              </w:rPr>
              <w:t>2</w:t>
            </w:r>
            <w:r w:rsidR="00F96E42" w:rsidRPr="00720DE1">
              <w:rPr>
                <w:rFonts w:cs="Arial"/>
                <w:color w:val="010205"/>
                <w:sz w:val="20"/>
                <w:szCs w:val="18"/>
              </w:rPr>
              <w:t>0%</w:t>
            </w:r>
          </w:p>
        </w:tc>
      </w:tr>
      <w:tr w:rsidR="008E70D3" w14:paraId="730E7AD6" w14:textId="77777777" w:rsidTr="00726CCD">
        <w:tc>
          <w:tcPr>
            <w:tcW w:w="5240" w:type="dxa"/>
          </w:tcPr>
          <w:p w14:paraId="13C9432D" w14:textId="48732DDA" w:rsidR="008E70D3" w:rsidRDefault="008E70D3" w:rsidP="00726CCD">
            <w:pPr>
              <w:spacing w:before="10" w:after="10" w:line="276" w:lineRule="auto"/>
              <w:rPr>
                <w:b/>
                <w:sz w:val="20"/>
              </w:rPr>
            </w:pPr>
            <w:r>
              <w:rPr>
                <w:b/>
                <w:sz w:val="20"/>
              </w:rPr>
              <w:t>Experience un</w:t>
            </w:r>
            <w:r w:rsidRPr="00AE5D30">
              <w:rPr>
                <w:b/>
                <w:sz w:val="20"/>
              </w:rPr>
              <w:t>comfortable</w:t>
            </w:r>
            <w:r>
              <w:rPr>
                <w:b/>
                <w:sz w:val="20"/>
              </w:rPr>
              <w:t xml:space="preserve"> home temperatures</w:t>
            </w:r>
          </w:p>
        </w:tc>
        <w:tc>
          <w:tcPr>
            <w:tcW w:w="3776" w:type="dxa"/>
          </w:tcPr>
          <w:p w14:paraId="2B22D9E9" w14:textId="41600CC3" w:rsidR="008E70D3" w:rsidRDefault="008E70D3" w:rsidP="00726CCD">
            <w:pPr>
              <w:spacing w:before="40" w:after="40" w:line="276" w:lineRule="auto"/>
            </w:pPr>
            <w:r>
              <w:rPr>
                <w:sz w:val="20"/>
              </w:rPr>
              <w:t>46%</w:t>
            </w:r>
          </w:p>
        </w:tc>
      </w:tr>
      <w:tr w:rsidR="00F96E42" w14:paraId="07DCAFCA" w14:textId="77777777" w:rsidTr="00F24183">
        <w:tc>
          <w:tcPr>
            <w:tcW w:w="5240" w:type="dxa"/>
          </w:tcPr>
          <w:p w14:paraId="6A3F147B" w14:textId="4793D18E" w:rsidR="00F96E42" w:rsidRDefault="00F96E42" w:rsidP="00F96E42">
            <w:pPr>
              <w:spacing w:before="10" w:after="10" w:line="276" w:lineRule="auto"/>
              <w:rPr>
                <w:b/>
                <w:sz w:val="20"/>
              </w:rPr>
            </w:pPr>
            <w:r>
              <w:rPr>
                <w:b/>
                <w:sz w:val="20"/>
              </w:rPr>
              <w:t xml:space="preserve">Feel </w:t>
            </w:r>
            <w:r w:rsidR="008E70D3">
              <w:rPr>
                <w:b/>
                <w:sz w:val="20"/>
              </w:rPr>
              <w:t>safe</w:t>
            </w:r>
            <w:r>
              <w:rPr>
                <w:b/>
                <w:sz w:val="20"/>
              </w:rPr>
              <w:t xml:space="preserve"> in </w:t>
            </w:r>
            <w:r w:rsidR="008E70D3">
              <w:rPr>
                <w:b/>
                <w:sz w:val="20"/>
              </w:rPr>
              <w:t>their</w:t>
            </w:r>
            <w:r>
              <w:rPr>
                <w:b/>
                <w:sz w:val="20"/>
              </w:rPr>
              <w:t xml:space="preserve"> area</w:t>
            </w:r>
          </w:p>
        </w:tc>
        <w:tc>
          <w:tcPr>
            <w:tcW w:w="3776" w:type="dxa"/>
          </w:tcPr>
          <w:p w14:paraId="1101A9D3" w14:textId="56BEB43C" w:rsidR="00F96E42" w:rsidRDefault="008E70D3" w:rsidP="00F96E42">
            <w:pPr>
              <w:spacing w:before="40" w:after="40" w:line="276" w:lineRule="auto"/>
            </w:pPr>
            <w:r>
              <w:rPr>
                <w:rFonts w:cs="Arial"/>
                <w:color w:val="010205"/>
                <w:sz w:val="20"/>
                <w:szCs w:val="18"/>
              </w:rPr>
              <w:t>82</w:t>
            </w:r>
            <w:r w:rsidR="00F96E42" w:rsidRPr="00720DE1">
              <w:rPr>
                <w:rFonts w:cs="Arial"/>
                <w:color w:val="010205"/>
                <w:sz w:val="20"/>
                <w:szCs w:val="18"/>
              </w:rPr>
              <w:t>%</w:t>
            </w:r>
          </w:p>
        </w:tc>
      </w:tr>
      <w:tr w:rsidR="00F96E42" w14:paraId="1D0FEDD2" w14:textId="77777777" w:rsidTr="00F24183">
        <w:tc>
          <w:tcPr>
            <w:tcW w:w="5240" w:type="dxa"/>
          </w:tcPr>
          <w:p w14:paraId="1A12D900" w14:textId="6E4D0516" w:rsidR="00F96E42" w:rsidRDefault="008E70D3" w:rsidP="00F96E42">
            <w:pPr>
              <w:spacing w:before="10" w:after="10" w:line="276" w:lineRule="auto"/>
              <w:rPr>
                <w:b/>
                <w:sz w:val="20"/>
              </w:rPr>
            </w:pPr>
            <w:r>
              <w:rPr>
                <w:b/>
                <w:sz w:val="20"/>
              </w:rPr>
              <w:t>Feel their area is safer than others</w:t>
            </w:r>
          </w:p>
        </w:tc>
        <w:tc>
          <w:tcPr>
            <w:tcW w:w="3776" w:type="dxa"/>
          </w:tcPr>
          <w:p w14:paraId="601B942A" w14:textId="6417B76E" w:rsidR="00F96E42" w:rsidRDefault="008E70D3" w:rsidP="00F96E42">
            <w:pPr>
              <w:spacing w:before="40" w:after="40" w:line="276" w:lineRule="auto"/>
            </w:pPr>
            <w:r>
              <w:rPr>
                <w:rFonts w:cs="Arial"/>
                <w:color w:val="010205"/>
                <w:sz w:val="20"/>
                <w:szCs w:val="18"/>
              </w:rPr>
              <w:t>42</w:t>
            </w:r>
            <w:r w:rsidR="00F96E42" w:rsidRPr="00720DE1">
              <w:rPr>
                <w:rFonts w:cs="Arial"/>
                <w:color w:val="010205"/>
                <w:sz w:val="20"/>
                <w:szCs w:val="18"/>
              </w:rPr>
              <w:t>%</w:t>
            </w:r>
          </w:p>
        </w:tc>
      </w:tr>
      <w:tr w:rsidR="00F96E42" w14:paraId="0D707434" w14:textId="77777777" w:rsidTr="00F24183">
        <w:tc>
          <w:tcPr>
            <w:tcW w:w="5240" w:type="dxa"/>
          </w:tcPr>
          <w:p w14:paraId="70FB0DDC" w14:textId="72DEAD03" w:rsidR="00F96E42" w:rsidRDefault="00F96E42" w:rsidP="00F96E42">
            <w:pPr>
              <w:spacing w:before="10" w:after="10" w:line="276" w:lineRule="auto"/>
              <w:rPr>
                <w:b/>
                <w:sz w:val="20"/>
              </w:rPr>
            </w:pPr>
            <w:r>
              <w:rPr>
                <w:b/>
                <w:sz w:val="20"/>
              </w:rPr>
              <w:t xml:space="preserve">Multiculturalism </w:t>
            </w:r>
            <w:r w:rsidR="008E70D3">
              <w:rPr>
                <w:b/>
                <w:sz w:val="20"/>
              </w:rPr>
              <w:t>makes</w:t>
            </w:r>
            <w:r>
              <w:rPr>
                <w:b/>
                <w:sz w:val="20"/>
              </w:rPr>
              <w:t xml:space="preserve"> life better</w:t>
            </w:r>
          </w:p>
        </w:tc>
        <w:tc>
          <w:tcPr>
            <w:tcW w:w="3776" w:type="dxa"/>
          </w:tcPr>
          <w:p w14:paraId="6A4FAB6D" w14:textId="39557076" w:rsidR="00F96E42" w:rsidRDefault="00F96E42" w:rsidP="00F96E42">
            <w:pPr>
              <w:spacing w:before="40" w:after="40" w:line="276" w:lineRule="auto"/>
            </w:pPr>
            <w:r w:rsidRPr="00720DE1">
              <w:rPr>
                <w:rFonts w:cs="Arial"/>
                <w:color w:val="010205"/>
                <w:sz w:val="20"/>
                <w:szCs w:val="18"/>
              </w:rPr>
              <w:t>43%</w:t>
            </w:r>
          </w:p>
        </w:tc>
      </w:tr>
      <w:tr w:rsidR="00F96E42" w14:paraId="6FAF02F7" w14:textId="77777777" w:rsidTr="00F24183">
        <w:tc>
          <w:tcPr>
            <w:tcW w:w="5240" w:type="dxa"/>
          </w:tcPr>
          <w:p w14:paraId="0C8FFF08" w14:textId="295F7120" w:rsidR="00F96E42" w:rsidRDefault="00F96E42" w:rsidP="00F96E42">
            <w:pPr>
              <w:spacing w:before="10" w:after="10" w:line="276" w:lineRule="auto"/>
              <w:rPr>
                <w:b/>
                <w:sz w:val="20"/>
              </w:rPr>
            </w:pPr>
            <w:r w:rsidRPr="00AE5D30">
              <w:rPr>
                <w:b/>
                <w:sz w:val="20"/>
              </w:rPr>
              <w:t xml:space="preserve">Experienced discrimination </w:t>
            </w:r>
          </w:p>
        </w:tc>
        <w:tc>
          <w:tcPr>
            <w:tcW w:w="3776" w:type="dxa"/>
          </w:tcPr>
          <w:p w14:paraId="0B379DD7" w14:textId="1DC81FC2" w:rsidR="00F96E42" w:rsidRDefault="00F96E42" w:rsidP="00F96E42">
            <w:pPr>
              <w:spacing w:before="40" w:after="40" w:line="276" w:lineRule="auto"/>
            </w:pPr>
            <w:r w:rsidRPr="00720DE1">
              <w:rPr>
                <w:sz w:val="20"/>
              </w:rPr>
              <w:t>16%</w:t>
            </w:r>
          </w:p>
        </w:tc>
      </w:tr>
      <w:tr w:rsidR="00F96E42" w14:paraId="23829D64" w14:textId="77777777" w:rsidTr="00F24183">
        <w:tc>
          <w:tcPr>
            <w:tcW w:w="5240" w:type="dxa"/>
          </w:tcPr>
          <w:p w14:paraId="3FBD512F" w14:textId="4D83A9B2" w:rsidR="00F96E42" w:rsidRDefault="00F96E42" w:rsidP="00F96E42">
            <w:pPr>
              <w:spacing w:before="10" w:after="10" w:line="276" w:lineRule="auto"/>
              <w:rPr>
                <w:b/>
                <w:sz w:val="20"/>
              </w:rPr>
            </w:pPr>
            <w:r w:rsidRPr="00AE5D30">
              <w:rPr>
                <w:b/>
                <w:sz w:val="20"/>
              </w:rPr>
              <w:t>Very concerned about climate change</w:t>
            </w:r>
          </w:p>
        </w:tc>
        <w:tc>
          <w:tcPr>
            <w:tcW w:w="3776" w:type="dxa"/>
          </w:tcPr>
          <w:p w14:paraId="5CE049F8" w14:textId="2177147E" w:rsidR="00F96E42" w:rsidRDefault="00F96E42" w:rsidP="00F96E42">
            <w:pPr>
              <w:spacing w:before="40" w:after="40" w:line="276" w:lineRule="auto"/>
            </w:pPr>
            <w:r w:rsidRPr="00720DE1">
              <w:rPr>
                <w:sz w:val="20"/>
              </w:rPr>
              <w:t>28%</w:t>
            </w:r>
          </w:p>
        </w:tc>
      </w:tr>
    </w:tbl>
    <w:p w14:paraId="297A9188" w14:textId="05EDF72C" w:rsidR="0055150A" w:rsidRPr="00F24183" w:rsidRDefault="00F96E42" w:rsidP="00F96E42">
      <w:pPr>
        <w:spacing w:before="40" w:after="40" w:line="276" w:lineRule="auto"/>
        <w:rPr>
          <w:sz w:val="18"/>
          <w:szCs w:val="18"/>
        </w:rPr>
      </w:pPr>
      <w:r w:rsidRPr="00F24183">
        <w:rPr>
          <w:sz w:val="18"/>
          <w:szCs w:val="18"/>
        </w:rPr>
        <w:t>*Interpret with caution due to low sample size</w:t>
      </w:r>
    </w:p>
    <w:p w14:paraId="3C5F5121" w14:textId="2FB8336F" w:rsidR="00922098" w:rsidRDefault="00922098">
      <w:r>
        <w:br w:type="page"/>
      </w:r>
    </w:p>
    <w:p w14:paraId="489A05C9" w14:textId="2B3E82E8" w:rsidR="00922098" w:rsidRDefault="00922098" w:rsidP="00922098">
      <w:pPr>
        <w:pStyle w:val="Heading1"/>
      </w:pPr>
      <w:bookmarkStart w:id="3" w:name="_Toc195192687"/>
      <w:r>
        <w:lastRenderedPageBreak/>
        <w:t>Key Findings Overview</w:t>
      </w:r>
      <w:bookmarkEnd w:id="3"/>
    </w:p>
    <w:p w14:paraId="57208E0F" w14:textId="33601F61" w:rsidR="00922098" w:rsidRPr="00922098" w:rsidRDefault="00922098" w:rsidP="00922098">
      <w:pPr>
        <w:spacing w:before="120"/>
        <w:rPr>
          <w:b/>
          <w:bCs/>
        </w:rPr>
      </w:pPr>
      <w:r w:rsidRPr="00922098">
        <w:rPr>
          <w:b/>
          <w:bCs/>
        </w:rPr>
        <w:t xml:space="preserve">This report presents the findings of the 2024 Geelong Preventative Health Survey. This research was designed to collect data on a range of topics relating to the health and wellbeing of the community, to help inform </w:t>
      </w:r>
      <w:r>
        <w:rPr>
          <w:b/>
          <w:bCs/>
        </w:rPr>
        <w:t>the City’s</w:t>
      </w:r>
      <w:r w:rsidRPr="00922098">
        <w:rPr>
          <w:b/>
          <w:bCs/>
        </w:rPr>
        <w:t xml:space="preserve"> planning. </w:t>
      </w:r>
    </w:p>
    <w:p w14:paraId="16F6AD1E" w14:textId="77777777" w:rsidR="00922098" w:rsidRDefault="00922098" w:rsidP="00922098">
      <w:pPr>
        <w:spacing w:before="120"/>
      </w:pPr>
      <w:r>
        <w:t xml:space="preserve">The research used a mixed mode methodology, with 31% of the sample sourced through phone surveys (for methodological consistency with previous years) and then the remainder sourced through random representative rates database sampling methodology, with invitations sent to households via email (to an online version), or paper form in the mail. The research was in field from August to early September 2024 and achieved a </w:t>
      </w:r>
      <w:r>
        <w:rPr>
          <w:b/>
        </w:rPr>
        <w:t>sample size of n=2,282</w:t>
      </w:r>
      <w:r>
        <w:t>.</w:t>
      </w:r>
    </w:p>
    <w:p w14:paraId="418FA912" w14:textId="0D367F8E" w:rsidR="00922098" w:rsidRDefault="00922098" w:rsidP="00922098">
      <w:pPr>
        <w:spacing w:before="120"/>
      </w:pPr>
      <w:r>
        <w:t xml:space="preserve">The following section presents the key findings. To access the full report, visit </w:t>
      </w:r>
      <w:hyperlink r:id="rId13" w:history="1">
        <w:r w:rsidRPr="00A12A28">
          <w:rPr>
            <w:rStyle w:val="Hyperlink"/>
          </w:rPr>
          <w:t>www.geelongaustralia.com.au/gphs</w:t>
        </w:r>
      </w:hyperlink>
    </w:p>
    <w:p w14:paraId="3929D126" w14:textId="77777777" w:rsidR="00922098" w:rsidRDefault="00922098" w:rsidP="00922098">
      <w:pPr>
        <w:pStyle w:val="Heading3"/>
      </w:pPr>
      <w:bookmarkStart w:id="4" w:name="_Toc195192688"/>
      <w:r>
        <w:t>Health and wellbeing</w:t>
      </w:r>
      <w:bookmarkEnd w:id="4"/>
    </w:p>
    <w:p w14:paraId="1449622B" w14:textId="77777777" w:rsidR="00922098" w:rsidRDefault="00922098" w:rsidP="00922098">
      <w:r>
        <w:t>A range of measures assist in tracking the general wellbeing of the community, to help identify any cohorts that may need additional support to maintain healthy lifestyles. Findings suggest that whilst we perform better than the state average for some indicators, in general, self-reported health and wellbeing is decreasing amongst the Greater Geelong community.</w:t>
      </w:r>
    </w:p>
    <w:p w14:paraId="5E47CA69" w14:textId="77777777" w:rsidR="00922098" w:rsidRPr="00320E26" w:rsidRDefault="00922098" w:rsidP="00922098">
      <w:pPr>
        <w:pStyle w:val="ListParagraph"/>
        <w:numPr>
          <w:ilvl w:val="0"/>
          <w:numId w:val="3"/>
        </w:numPr>
        <w:spacing w:after="120" w:line="276" w:lineRule="auto"/>
      </w:pPr>
      <w:r>
        <w:t>The incidence of residents self-reporting good health has been declining over time (59% in 2017 down to 51% in 2024).</w:t>
      </w:r>
    </w:p>
    <w:p w14:paraId="032D003B" w14:textId="77777777" w:rsidR="00922098" w:rsidRPr="00320E26" w:rsidRDefault="00922098" w:rsidP="00922098">
      <w:pPr>
        <w:pStyle w:val="ListParagraph"/>
        <w:numPr>
          <w:ilvl w:val="0"/>
          <w:numId w:val="3"/>
        </w:numPr>
        <w:spacing w:after="120" w:line="276" w:lineRule="auto"/>
      </w:pPr>
      <w:r>
        <w:t>The incidence of residents providing high satisfaction ratings with life as a whole was lower in 2024 than previous years (78%, 86% in 2017).</w:t>
      </w:r>
    </w:p>
    <w:p w14:paraId="706E81FE" w14:textId="77777777" w:rsidR="00922098" w:rsidRDefault="00922098" w:rsidP="00922098">
      <w:pPr>
        <w:pStyle w:val="ListParagraph"/>
        <w:numPr>
          <w:ilvl w:val="0"/>
          <w:numId w:val="3"/>
        </w:numPr>
        <w:spacing w:after="120" w:line="276" w:lineRule="auto"/>
      </w:pPr>
      <w:r>
        <w:t>Areas of wellbeing that were contributing most to lower levels of satisfaction with life were feeling part of the community, future security and physical health.</w:t>
      </w:r>
    </w:p>
    <w:p w14:paraId="5A7DCDB5" w14:textId="77777777" w:rsidR="00922098" w:rsidRDefault="00922098" w:rsidP="00922098">
      <w:pPr>
        <w:pStyle w:val="Heading3"/>
      </w:pPr>
      <w:bookmarkStart w:id="5" w:name="_Toc195192689"/>
      <w:r>
        <w:t>Mental health</w:t>
      </w:r>
      <w:bookmarkEnd w:id="5"/>
    </w:p>
    <w:p w14:paraId="274980D5" w14:textId="77777777" w:rsidR="00922098" w:rsidRDefault="00922098" w:rsidP="00922098">
      <w:pPr>
        <w:pStyle w:val="ListParagraph"/>
        <w:numPr>
          <w:ilvl w:val="0"/>
          <w:numId w:val="3"/>
        </w:numPr>
        <w:spacing w:after="120" w:line="276" w:lineRule="auto"/>
      </w:pPr>
      <w:r>
        <w:t>Fewer residents are experiencing high to very high psychological distress (13%) after an increase during COVID (20% in 2021). This may in part be due to a higher proportion seeking professional help for their mental health (24%, 20% in 2021).</w:t>
      </w:r>
    </w:p>
    <w:p w14:paraId="49E02A52" w14:textId="77777777" w:rsidR="00922098" w:rsidRDefault="00922098" w:rsidP="00922098">
      <w:pPr>
        <w:pStyle w:val="ListParagraph"/>
        <w:numPr>
          <w:ilvl w:val="0"/>
          <w:numId w:val="3"/>
        </w:numPr>
        <w:spacing w:after="120" w:line="276" w:lineRule="auto"/>
      </w:pPr>
      <w:r>
        <w:t>A quarter of the community (25%) is experiencing loneliness.</w:t>
      </w:r>
    </w:p>
    <w:p w14:paraId="37C45572" w14:textId="77777777" w:rsidR="00922098" w:rsidRDefault="00922098" w:rsidP="00922098">
      <w:pPr>
        <w:pStyle w:val="Heading3"/>
      </w:pPr>
      <w:bookmarkStart w:id="6" w:name="_Toc195192690"/>
      <w:r>
        <w:t>Healthy eating</w:t>
      </w:r>
      <w:bookmarkEnd w:id="6"/>
    </w:p>
    <w:p w14:paraId="020EBF19" w14:textId="77777777" w:rsidR="00922098" w:rsidRDefault="00922098" w:rsidP="00922098">
      <w:r>
        <w:t>Healthy eating, coupled with exercise, can help improve the general wellbeing of the community, and reduce instances of illness and/or injury. There have been some promising improvements in some indicators for healthy eating since 2021, whilst others remain unchanged.</w:t>
      </w:r>
    </w:p>
    <w:p w14:paraId="0AC5DCE8" w14:textId="77777777" w:rsidR="00922098" w:rsidRDefault="00922098" w:rsidP="00922098">
      <w:pPr>
        <w:pStyle w:val="ListParagraph"/>
        <w:numPr>
          <w:ilvl w:val="0"/>
          <w:numId w:val="4"/>
        </w:numPr>
        <w:spacing w:after="120" w:line="276" w:lineRule="auto"/>
      </w:pPr>
      <w:r>
        <w:t>Findings suggest that over time the proportion of the population drinking 8+ glasses of water a day is increasing, sitting at 42% in 2024.</w:t>
      </w:r>
    </w:p>
    <w:p w14:paraId="63B853F3" w14:textId="77777777" w:rsidR="00922098" w:rsidRDefault="00922098" w:rsidP="00922098">
      <w:pPr>
        <w:pStyle w:val="ListParagraph"/>
        <w:numPr>
          <w:ilvl w:val="0"/>
          <w:numId w:val="4"/>
        </w:numPr>
        <w:spacing w:after="120" w:line="276" w:lineRule="auto"/>
      </w:pPr>
      <w:r>
        <w:t>There has also been a decrease in consumption of sugar-sweetened drinks, with 2024 data showing 29% of respondents are drinking them more than once a week, compared to 37% in 2021.</w:t>
      </w:r>
    </w:p>
    <w:p w14:paraId="31796D6E" w14:textId="77777777" w:rsidR="00922098" w:rsidRPr="00320E26" w:rsidRDefault="00922098" w:rsidP="00922098">
      <w:pPr>
        <w:pStyle w:val="ListParagraph"/>
        <w:numPr>
          <w:ilvl w:val="0"/>
          <w:numId w:val="4"/>
        </w:numPr>
        <w:spacing w:after="120" w:line="276" w:lineRule="auto"/>
      </w:pPr>
      <w:r>
        <w:t>Take away consumption habits appear to be returning to pre-COVID levels, with 16% eating it more than weekly, down from 20% in 2021 (14% in 2017).</w:t>
      </w:r>
    </w:p>
    <w:p w14:paraId="1A67EF8D" w14:textId="77777777" w:rsidR="00922098" w:rsidRPr="003C6D12" w:rsidRDefault="00922098" w:rsidP="00922098">
      <w:pPr>
        <w:pStyle w:val="ListParagraph"/>
        <w:numPr>
          <w:ilvl w:val="0"/>
          <w:numId w:val="4"/>
        </w:numPr>
        <w:spacing w:before="100" w:after="200" w:line="276" w:lineRule="auto"/>
        <w:rPr>
          <w:b/>
          <w:color w:val="156082" w:themeColor="accent1"/>
          <w:spacing w:val="15"/>
          <w:sz w:val="24"/>
        </w:rPr>
      </w:pPr>
      <w:r>
        <w:lastRenderedPageBreak/>
        <w:t>The incidence of meeting fruit and vegetable consumption guidelines remains relatively unchanged over time, with around half meeting fruit consumption guidelines (2 pieces a day) and only 14% meeting vegetable consumption guidelines (5+ serves a day). Not meeting guidelines is primarily due to personal preference and lack of time, although in 2024 cost has emerged as having more of an impact on people not meeting guidelines (12%, 3% in 2021).</w:t>
      </w:r>
    </w:p>
    <w:p w14:paraId="205DBEDA" w14:textId="77777777" w:rsidR="00922098" w:rsidRDefault="00922098" w:rsidP="00922098">
      <w:pPr>
        <w:pStyle w:val="Heading3"/>
      </w:pPr>
      <w:bookmarkStart w:id="7" w:name="_Toc195192691"/>
      <w:r>
        <w:t>Active living</w:t>
      </w:r>
      <w:bookmarkEnd w:id="7"/>
    </w:p>
    <w:p w14:paraId="476F87BD" w14:textId="77777777" w:rsidR="00922098" w:rsidRDefault="00922098" w:rsidP="00922098">
      <w:r>
        <w:t xml:space="preserve">Coupled with healthy eating, active living is an important aspect of life to help improve health and wellbeing and reduce the incidence of chronic disease. </w:t>
      </w:r>
    </w:p>
    <w:p w14:paraId="1CB72FA2" w14:textId="77777777" w:rsidR="00922098" w:rsidRPr="00C65831" w:rsidRDefault="00922098" w:rsidP="00922098">
      <w:pPr>
        <w:pStyle w:val="ListParagraph"/>
        <w:numPr>
          <w:ilvl w:val="0"/>
          <w:numId w:val="5"/>
        </w:numPr>
        <w:spacing w:after="120" w:line="276" w:lineRule="auto"/>
      </w:pPr>
      <w:r>
        <w:t>Greater Geelong residents are fairly active, with almost two thirds of residents (65%) meeting physical activity guidelines, which is relatively similar to that recorded in 2021 (67%).</w:t>
      </w:r>
    </w:p>
    <w:p w14:paraId="3AAB28C0" w14:textId="77777777" w:rsidR="00922098" w:rsidRPr="00C65831" w:rsidRDefault="00922098" w:rsidP="00922098">
      <w:pPr>
        <w:pStyle w:val="ListParagraph"/>
        <w:numPr>
          <w:ilvl w:val="0"/>
          <w:numId w:val="5"/>
        </w:numPr>
        <w:spacing w:after="120" w:line="276" w:lineRule="auto"/>
      </w:pPr>
      <w:r>
        <w:t>Walking is a popular form of exercise with most residents walking for exercise more than once a week (78%), and a third doing so daily (32% 7+ times a week). The incidence of walking 7+ times a week has remained relatively consistent over time.</w:t>
      </w:r>
    </w:p>
    <w:p w14:paraId="534731DA" w14:textId="77777777" w:rsidR="00922098" w:rsidRPr="00C65831" w:rsidRDefault="00922098" w:rsidP="00922098">
      <w:pPr>
        <w:pStyle w:val="ListParagraph"/>
        <w:numPr>
          <w:ilvl w:val="0"/>
          <w:numId w:val="5"/>
        </w:numPr>
        <w:spacing w:after="120" w:line="276" w:lineRule="auto"/>
      </w:pPr>
      <w:r>
        <w:t>Cycling for exercise is not as popular, with less than one in five residents cycling for more than 10 minutes for exercise at least once a week (17%). This is a similar level to that recorded in 2021 (19%).</w:t>
      </w:r>
    </w:p>
    <w:p w14:paraId="6D506BCF" w14:textId="77777777" w:rsidR="00922098" w:rsidRDefault="00922098" w:rsidP="00922098">
      <w:pPr>
        <w:pStyle w:val="ListParagraph"/>
        <w:numPr>
          <w:ilvl w:val="0"/>
          <w:numId w:val="5"/>
        </w:numPr>
        <w:spacing w:after="120" w:line="276" w:lineRule="auto"/>
      </w:pPr>
      <w:r>
        <w:t xml:space="preserve">There are fewer people classified as obese (28%) than in 2021 (31%), although the rate still remains higher than in 2017 (21%) and higher than the Victorian average (23%). </w:t>
      </w:r>
    </w:p>
    <w:p w14:paraId="4144C874" w14:textId="77777777" w:rsidR="00922098" w:rsidRPr="00C65831" w:rsidRDefault="00922098" w:rsidP="00922098">
      <w:pPr>
        <w:pStyle w:val="ListParagraph"/>
        <w:numPr>
          <w:ilvl w:val="0"/>
          <w:numId w:val="5"/>
        </w:numPr>
        <w:spacing w:after="120" w:line="276" w:lineRule="auto"/>
      </w:pPr>
      <w:r>
        <w:t>One in five respondents were classified as sedentary (20%).</w:t>
      </w:r>
    </w:p>
    <w:p w14:paraId="06CAE57B" w14:textId="77777777" w:rsidR="00922098" w:rsidRDefault="00922098" w:rsidP="00922098">
      <w:pPr>
        <w:pStyle w:val="Heading3"/>
      </w:pPr>
      <w:bookmarkStart w:id="8" w:name="_Toc195192692"/>
      <w:r>
        <w:t>Alcohol harm</w:t>
      </w:r>
      <w:bookmarkEnd w:id="8"/>
    </w:p>
    <w:p w14:paraId="30D26345" w14:textId="77777777" w:rsidR="00922098" w:rsidRPr="00C65831" w:rsidRDefault="00922098" w:rsidP="00922098">
      <w:r>
        <w:t>Excessive alcohol consumption can both increase the risk of illness and disease in the future (lifetime harm) as well as harm at the time of drinking due to reduced capacity (short term harm). The proportion of residents at risk of lifetime harm has increased, but those at risk of short term harm has decreased.</w:t>
      </w:r>
    </w:p>
    <w:p w14:paraId="123721C4" w14:textId="77777777" w:rsidR="00922098" w:rsidRDefault="00922098" w:rsidP="00922098">
      <w:pPr>
        <w:pStyle w:val="ListParagraph"/>
        <w:numPr>
          <w:ilvl w:val="0"/>
          <w:numId w:val="6"/>
        </w:numPr>
        <w:spacing w:after="120" w:line="276" w:lineRule="auto"/>
      </w:pPr>
      <w:r>
        <w:t>One in ten are at risk of short term harm from their alcohol consumption (11%) down from 14% in 2021.</w:t>
      </w:r>
    </w:p>
    <w:p w14:paraId="68170B8E" w14:textId="77777777" w:rsidR="00922098" w:rsidRDefault="00922098" w:rsidP="00922098">
      <w:pPr>
        <w:pStyle w:val="ListParagraph"/>
        <w:numPr>
          <w:ilvl w:val="0"/>
          <w:numId w:val="6"/>
        </w:numPr>
        <w:spacing w:after="120" w:line="276" w:lineRule="auto"/>
      </w:pPr>
      <w:r>
        <w:t>Almost one in five are at risk of lifetime harm from alcohol consumption (17%), up from 11% in 2021.</w:t>
      </w:r>
    </w:p>
    <w:p w14:paraId="57233EFF" w14:textId="77777777" w:rsidR="00922098" w:rsidRDefault="00922098" w:rsidP="00922098">
      <w:pPr>
        <w:pStyle w:val="Heading3"/>
      </w:pPr>
      <w:bookmarkStart w:id="9" w:name="_Toc195192693"/>
      <w:r>
        <w:t>Smoking/vaping</w:t>
      </w:r>
      <w:bookmarkEnd w:id="9"/>
    </w:p>
    <w:p w14:paraId="7E349280" w14:textId="77777777" w:rsidR="00922098" w:rsidRDefault="00922098" w:rsidP="00922098">
      <w:r>
        <w:t>Smoking of cigarettes can cause diseases later in life, and the recent introduction of vapes has also raised concerns about potential future health impacts of this activity. The smoking questions were expanded in 2024 to better understand these behaviours.</w:t>
      </w:r>
    </w:p>
    <w:p w14:paraId="41E53ED9" w14:textId="77777777" w:rsidR="00922098" w:rsidRDefault="00922098" w:rsidP="00922098">
      <w:pPr>
        <w:pStyle w:val="ListParagraph"/>
        <w:numPr>
          <w:ilvl w:val="0"/>
          <w:numId w:val="7"/>
        </w:numPr>
        <w:spacing w:after="120" w:line="276" w:lineRule="auto"/>
      </w:pPr>
      <w:r>
        <w:t xml:space="preserve">Fewer residents in Greater Geelong smoke (just over 10%) when compared to the Victorian average (19%). Findings suggest that the overall rate of smoking (cigarettes or vapes) has not changed over time. </w:t>
      </w:r>
    </w:p>
    <w:p w14:paraId="12A8D889" w14:textId="77777777" w:rsidR="00922098" w:rsidRDefault="00922098" w:rsidP="00922098">
      <w:pPr>
        <w:pStyle w:val="ListParagraph"/>
        <w:numPr>
          <w:ilvl w:val="0"/>
          <w:numId w:val="7"/>
        </w:numPr>
        <w:spacing w:after="120" w:line="276" w:lineRule="auto"/>
      </w:pPr>
      <w:r>
        <w:t>The mix of smoking type for current smokers is 69% cigarettes and 34% vapes (some use both).</w:t>
      </w:r>
    </w:p>
    <w:p w14:paraId="7287C11B" w14:textId="77777777" w:rsidR="00922098" w:rsidRDefault="00922098" w:rsidP="00922098">
      <w:pPr>
        <w:pStyle w:val="ListParagraph"/>
        <w:numPr>
          <w:ilvl w:val="0"/>
          <w:numId w:val="7"/>
        </w:numPr>
        <w:spacing w:after="120" w:line="276" w:lineRule="auto"/>
      </w:pPr>
      <w:r>
        <w:lastRenderedPageBreak/>
        <w:t>10% of 18 to 24 year olds smoke vapes</w:t>
      </w:r>
      <w:r>
        <w:rPr>
          <w:rStyle w:val="FootnoteReference"/>
        </w:rPr>
        <w:footnoteReference w:id="1"/>
      </w:r>
      <w:r>
        <w:t>. Vapes are predominantly used amongst those aged under 45, with most using vapes with nicotine in them (64% always, 15% sometimes).</w:t>
      </w:r>
    </w:p>
    <w:p w14:paraId="5D0811A2" w14:textId="77777777" w:rsidR="00922098" w:rsidRDefault="00922098" w:rsidP="00922098">
      <w:pPr>
        <w:pStyle w:val="Heading3"/>
      </w:pPr>
      <w:bookmarkStart w:id="10" w:name="_Toc195192694"/>
      <w:r>
        <w:t>Resilience</w:t>
      </w:r>
      <w:bookmarkEnd w:id="10"/>
    </w:p>
    <w:p w14:paraId="19995230" w14:textId="77777777" w:rsidR="00922098" w:rsidRDefault="00922098" w:rsidP="00922098">
      <w:r>
        <w:t xml:space="preserve">The ability for people to source assistance in an emergency and/or navigate times of financial hardship can impact greatly on overall wellbeing. </w:t>
      </w:r>
    </w:p>
    <w:p w14:paraId="29F2C937" w14:textId="77777777" w:rsidR="00922098" w:rsidRDefault="00922098" w:rsidP="00922098">
      <w:pPr>
        <w:pStyle w:val="ListParagraph"/>
        <w:numPr>
          <w:ilvl w:val="0"/>
          <w:numId w:val="8"/>
        </w:numPr>
        <w:spacing w:after="120" w:line="276" w:lineRule="auto"/>
      </w:pPr>
      <w:r>
        <w:t>Most residents in Greater Geelong (84%) can call on someone outside their home in an emergency (similar level to 2021, 89%).</w:t>
      </w:r>
    </w:p>
    <w:p w14:paraId="621E0B49" w14:textId="77777777" w:rsidR="00922098" w:rsidRDefault="00922098" w:rsidP="00922098">
      <w:pPr>
        <w:pStyle w:val="ListParagraph"/>
        <w:numPr>
          <w:ilvl w:val="0"/>
          <w:numId w:val="8"/>
        </w:numPr>
        <w:spacing w:after="120" w:line="276" w:lineRule="auto"/>
      </w:pPr>
      <w:r>
        <w:t>Findings suggest that the cost of living may be influencing resilience for some, with a slight decline in the proportion of those who said they could raise $2,000 in two days in an emergency (80%, down from 85% in 2021).</w:t>
      </w:r>
    </w:p>
    <w:p w14:paraId="35A3D439" w14:textId="77777777" w:rsidR="00922098" w:rsidRDefault="00922098" w:rsidP="00922098">
      <w:pPr>
        <w:pStyle w:val="ListParagraph"/>
        <w:numPr>
          <w:ilvl w:val="0"/>
          <w:numId w:val="8"/>
        </w:numPr>
        <w:spacing w:after="120" w:line="276" w:lineRule="auto"/>
      </w:pPr>
      <w:r>
        <w:t>Almost one in ten (8%) said they had experienced a situation where they had run out of food and couldn’t afford to buy more in the previous 12 months. This has doubled from a rate of 4.3% in 2017. The cost of living is also a concern for the one in five (20%) who said they had experienced a situation where they were worried about running out of money to buy food.</w:t>
      </w:r>
    </w:p>
    <w:p w14:paraId="69116D57" w14:textId="77777777" w:rsidR="00922098" w:rsidRDefault="00922098" w:rsidP="00922098">
      <w:pPr>
        <w:pStyle w:val="ListParagraph"/>
        <w:numPr>
          <w:ilvl w:val="0"/>
          <w:numId w:val="8"/>
        </w:numPr>
        <w:spacing w:after="120" w:line="276" w:lineRule="auto"/>
      </w:pPr>
      <w:r>
        <w:t>Impacting resilience from extreme weather events, almost half said they were living in a house where the temperature was uncomfortable all the time (7%) or some of the time (39%).</w:t>
      </w:r>
    </w:p>
    <w:p w14:paraId="5C9C8C41" w14:textId="77777777" w:rsidR="00922098" w:rsidRDefault="00922098" w:rsidP="00922098">
      <w:pPr>
        <w:pStyle w:val="Heading3"/>
      </w:pPr>
      <w:bookmarkStart w:id="11" w:name="_Toc195192695"/>
      <w:r>
        <w:t>Safety</w:t>
      </w:r>
      <w:bookmarkEnd w:id="11"/>
    </w:p>
    <w:p w14:paraId="7CBD77CB" w14:textId="77777777" w:rsidR="00922098" w:rsidRDefault="00922098" w:rsidP="00922098">
      <w:r>
        <w:t>Perceptions of safety can impact on an individual’s participation in activities that can improve their health and wellbeing.</w:t>
      </w:r>
    </w:p>
    <w:p w14:paraId="0BA9B351" w14:textId="77777777" w:rsidR="00922098" w:rsidRDefault="00922098" w:rsidP="00922098">
      <w:pPr>
        <w:pStyle w:val="ListParagraph"/>
        <w:numPr>
          <w:ilvl w:val="0"/>
          <w:numId w:val="9"/>
        </w:numPr>
        <w:spacing w:after="120" w:line="276" w:lineRule="auto"/>
      </w:pPr>
      <w:r>
        <w:t>Most residents (82%) said they feel very safe or safe in the area where they live.</w:t>
      </w:r>
    </w:p>
    <w:p w14:paraId="0850D49D" w14:textId="77777777" w:rsidR="00922098" w:rsidRDefault="00922098" w:rsidP="00922098">
      <w:pPr>
        <w:pStyle w:val="ListParagraph"/>
        <w:numPr>
          <w:ilvl w:val="0"/>
          <w:numId w:val="9"/>
        </w:numPr>
        <w:spacing w:after="120" w:line="276" w:lineRule="auto"/>
      </w:pPr>
      <w:r>
        <w:t>Those who said they felt unsafe mostly indicated this being due to personal experience (56%) and/or things in the media (50%).</w:t>
      </w:r>
    </w:p>
    <w:p w14:paraId="1FF948A1" w14:textId="77777777" w:rsidR="00922098" w:rsidRDefault="00922098" w:rsidP="00922098">
      <w:pPr>
        <w:pStyle w:val="ListParagraph"/>
        <w:numPr>
          <w:ilvl w:val="0"/>
          <w:numId w:val="9"/>
        </w:numPr>
        <w:spacing w:after="120" w:line="276" w:lineRule="auto"/>
      </w:pPr>
      <w:r>
        <w:t>42% indicated that they felt their area was more safe than other parts of Greater Geelong.</w:t>
      </w:r>
    </w:p>
    <w:p w14:paraId="396407CE" w14:textId="77777777" w:rsidR="00922098" w:rsidRDefault="00922098" w:rsidP="00922098">
      <w:pPr>
        <w:pStyle w:val="Heading3"/>
      </w:pPr>
      <w:bookmarkStart w:id="12" w:name="_Toc195192696"/>
      <w:r>
        <w:t>Multiculturalism</w:t>
      </w:r>
      <w:bookmarkEnd w:id="12"/>
    </w:p>
    <w:p w14:paraId="4D8C2FF8" w14:textId="77777777" w:rsidR="00922098" w:rsidRDefault="00922098" w:rsidP="00922098">
      <w:r>
        <w:t>With an increasingly multicultural community, it is important to track perceptions of the benefits of multiculturalism and experiences of discrimination, to identify and address any risks of community unrest.</w:t>
      </w:r>
    </w:p>
    <w:p w14:paraId="16191789" w14:textId="77777777" w:rsidR="00922098" w:rsidRDefault="00922098" w:rsidP="00922098">
      <w:pPr>
        <w:pStyle w:val="ListParagraph"/>
        <w:numPr>
          <w:ilvl w:val="0"/>
          <w:numId w:val="10"/>
        </w:numPr>
        <w:spacing w:after="120" w:line="276" w:lineRule="auto"/>
      </w:pPr>
      <w:r>
        <w:t>Only two in five (43%) indicated that they felt multiculturalism definitely makes life in their suburb better. Further waves of research are necessary to identify if this is increasing or decreasing.</w:t>
      </w:r>
    </w:p>
    <w:p w14:paraId="5BA89F76" w14:textId="77777777" w:rsidR="00922098" w:rsidRDefault="00922098" w:rsidP="00922098">
      <w:pPr>
        <w:pStyle w:val="ListParagraph"/>
        <w:numPr>
          <w:ilvl w:val="0"/>
          <w:numId w:val="10"/>
        </w:numPr>
        <w:spacing w:after="120" w:line="276" w:lineRule="auto"/>
      </w:pPr>
      <w:r>
        <w:t>16% of respondents indicated they had experienced discrimination. The most common forms of discrimination are related to disability, socio economic status, Aboriginal and Torres Strait Islander status and older age.</w:t>
      </w:r>
    </w:p>
    <w:p w14:paraId="6EFA50A6" w14:textId="77777777" w:rsidR="00922098" w:rsidRDefault="00922098" w:rsidP="00922098">
      <w:pPr>
        <w:pStyle w:val="Heading3"/>
      </w:pPr>
      <w:bookmarkStart w:id="13" w:name="_Toc195192697"/>
      <w:r>
        <w:lastRenderedPageBreak/>
        <w:t>Climate Change</w:t>
      </w:r>
      <w:bookmarkEnd w:id="13"/>
    </w:p>
    <w:p w14:paraId="13F4E7E5" w14:textId="77777777" w:rsidR="00922098" w:rsidRDefault="00922098" w:rsidP="00922098">
      <w:r>
        <w:t>As the impacts of climate change are becoming more common, the survey seeks to understand the extent to which the community is recognising the impact of climate change, and their concern for the future.</w:t>
      </w:r>
    </w:p>
    <w:p w14:paraId="3570EBC6" w14:textId="77777777" w:rsidR="00922098" w:rsidRDefault="00922098" w:rsidP="00922098">
      <w:pPr>
        <w:pStyle w:val="ListParagraph"/>
        <w:numPr>
          <w:ilvl w:val="0"/>
          <w:numId w:val="11"/>
        </w:numPr>
        <w:spacing w:after="120" w:line="276" w:lineRule="auto"/>
      </w:pPr>
      <w:r>
        <w:t>28% said they are very concerned about the impacts of climate change. This hasn’t changed since 2021 (28%). Concerns are primarily for future generations and the increase in extreme weather events.</w:t>
      </w:r>
    </w:p>
    <w:p w14:paraId="4811CB85" w14:textId="77777777" w:rsidR="00922098" w:rsidRPr="00E72C9C" w:rsidRDefault="00922098" w:rsidP="00922098">
      <w:pPr>
        <w:pStyle w:val="ListParagraph"/>
        <w:numPr>
          <w:ilvl w:val="0"/>
          <w:numId w:val="11"/>
        </w:numPr>
        <w:spacing w:after="120" w:line="276" w:lineRule="auto"/>
      </w:pPr>
      <w:r>
        <w:t>22% think that climate change will harm the health of Victorians a great deal (similar to 2021, 23%).</w:t>
      </w:r>
    </w:p>
    <w:p w14:paraId="6DB976D2" w14:textId="77777777" w:rsidR="00922098" w:rsidRDefault="00922098" w:rsidP="00922098">
      <w:pPr>
        <w:spacing w:before="100" w:after="200"/>
      </w:pPr>
      <w:r>
        <w:t>The table on the next page shows a summary of the key indicators broken down by planning area, gender and age.</w:t>
      </w:r>
    </w:p>
    <w:p w14:paraId="13354E20" w14:textId="77777777" w:rsidR="00922098" w:rsidRDefault="00922098" w:rsidP="00922098"/>
    <w:p w14:paraId="40A0A429" w14:textId="77777777" w:rsidR="00922098" w:rsidRDefault="00922098" w:rsidP="00922098"/>
    <w:p w14:paraId="7390E3A4" w14:textId="187A09E2" w:rsidR="00922098" w:rsidRDefault="00922098">
      <w:r>
        <w:br w:type="page"/>
      </w:r>
    </w:p>
    <w:p w14:paraId="1CD9EDF5" w14:textId="2823927F" w:rsidR="00922098" w:rsidRDefault="00922098" w:rsidP="00922098">
      <w:pPr>
        <w:pStyle w:val="Heading1"/>
      </w:pPr>
      <w:bookmarkStart w:id="14" w:name="_Toc195192698"/>
      <w:r>
        <w:lastRenderedPageBreak/>
        <w:t>Key Findings by Demographics and Priority Populations</w:t>
      </w:r>
      <w:bookmarkEnd w:id="14"/>
    </w:p>
    <w:p w14:paraId="626F4F53" w14:textId="77777777" w:rsidR="00922098" w:rsidRDefault="00922098" w:rsidP="00922098"/>
    <w:p w14:paraId="145CF043" w14:textId="77777777" w:rsidR="00922098" w:rsidRDefault="00922098" w:rsidP="00922098">
      <w:pPr>
        <w:spacing w:before="120"/>
      </w:pPr>
      <w:r>
        <w:t xml:space="preserve">The following section summarises the items where respondents of that demographic or location showed notably </w:t>
      </w:r>
      <w:r w:rsidRPr="003E622B">
        <w:rPr>
          <w:b/>
        </w:rPr>
        <w:t>higher instances</w:t>
      </w:r>
      <w:r>
        <w:t xml:space="preserve"> of providing each specified survey response. This helps understand the unique circumstances and experiences of different population cohorts.</w:t>
      </w:r>
    </w:p>
    <w:p w14:paraId="4C79E8A5" w14:textId="77777777" w:rsidR="00922098" w:rsidRDefault="00922098" w:rsidP="00922098">
      <w:pPr>
        <w:pStyle w:val="Heading3"/>
      </w:pPr>
      <w:bookmarkStart w:id="15" w:name="_Toc195192699"/>
      <w:r>
        <w:t>Females</w:t>
      </w:r>
      <w:bookmarkEnd w:id="15"/>
    </w:p>
    <w:p w14:paraId="7BDEE585" w14:textId="77777777" w:rsidR="00922098" w:rsidRPr="00E85841" w:rsidRDefault="00922098" w:rsidP="00922098">
      <w:pPr>
        <w:pStyle w:val="ListParagraph"/>
        <w:numPr>
          <w:ilvl w:val="0"/>
          <w:numId w:val="3"/>
        </w:numPr>
      </w:pPr>
      <w:r>
        <w:t>55% Self-reported good health (excellent or very good) (49% males).</w:t>
      </w:r>
    </w:p>
    <w:p w14:paraId="31180884" w14:textId="77777777" w:rsidR="00922098" w:rsidRPr="00E85841" w:rsidRDefault="00922098" w:rsidP="00922098">
      <w:pPr>
        <w:pStyle w:val="ListParagraph"/>
        <w:numPr>
          <w:ilvl w:val="0"/>
          <w:numId w:val="3"/>
        </w:numPr>
      </w:pPr>
      <w:r>
        <w:t>14% classified as being in severe or moderate psychological distress (10% males).</w:t>
      </w:r>
    </w:p>
    <w:p w14:paraId="020B8AB2" w14:textId="77777777" w:rsidR="00922098" w:rsidRDefault="00922098" w:rsidP="00922098">
      <w:pPr>
        <w:pStyle w:val="ListParagraph"/>
        <w:numPr>
          <w:ilvl w:val="0"/>
          <w:numId w:val="3"/>
        </w:numPr>
        <w:spacing w:after="120" w:line="276" w:lineRule="auto"/>
      </w:pPr>
      <w:r>
        <w:t>32% sought professional help for a mental health related problem (16% males).</w:t>
      </w:r>
    </w:p>
    <w:p w14:paraId="0FD480DF" w14:textId="77777777" w:rsidR="00922098" w:rsidRDefault="00922098" w:rsidP="00922098">
      <w:pPr>
        <w:pStyle w:val="ListParagraph"/>
        <w:numPr>
          <w:ilvl w:val="0"/>
          <w:numId w:val="3"/>
        </w:numPr>
      </w:pPr>
      <w:r>
        <w:t>8% member of a school group (4% males).</w:t>
      </w:r>
    </w:p>
    <w:p w14:paraId="666092F3" w14:textId="77777777" w:rsidR="00922098" w:rsidRDefault="00922098" w:rsidP="00922098">
      <w:pPr>
        <w:pStyle w:val="ListParagraph"/>
        <w:numPr>
          <w:ilvl w:val="0"/>
          <w:numId w:val="3"/>
        </w:numPr>
      </w:pPr>
      <w:r>
        <w:t>9% live in a home where the temperature is always uncomfortable (5% males).</w:t>
      </w:r>
    </w:p>
    <w:p w14:paraId="21F25E01" w14:textId="77777777" w:rsidR="00922098" w:rsidRDefault="00922098" w:rsidP="00922098">
      <w:pPr>
        <w:pStyle w:val="ListParagraph"/>
        <w:numPr>
          <w:ilvl w:val="0"/>
          <w:numId w:val="3"/>
        </w:numPr>
      </w:pPr>
      <w:r>
        <w:t>9% feel unsafe in the area where they live (3% males).</w:t>
      </w:r>
    </w:p>
    <w:p w14:paraId="6A0D0B27" w14:textId="77777777" w:rsidR="00922098" w:rsidRPr="006F1FAE" w:rsidRDefault="00922098" w:rsidP="00922098">
      <w:pPr>
        <w:pStyle w:val="ListParagraph"/>
        <w:numPr>
          <w:ilvl w:val="0"/>
          <w:numId w:val="3"/>
        </w:numPr>
      </w:pPr>
      <w:r>
        <w:t>17%</w:t>
      </w:r>
      <w:r w:rsidRPr="00530928">
        <w:t xml:space="preserve"> </w:t>
      </w:r>
      <w:r>
        <w:t>had experienced discrimination (14% males). Of these, 38% said it was due to their gender.</w:t>
      </w:r>
    </w:p>
    <w:p w14:paraId="1171B941" w14:textId="77777777" w:rsidR="00922098" w:rsidRPr="006F1FAE" w:rsidRDefault="00922098" w:rsidP="00922098">
      <w:pPr>
        <w:pStyle w:val="ListParagraph"/>
        <w:numPr>
          <w:ilvl w:val="0"/>
          <w:numId w:val="3"/>
        </w:numPr>
      </w:pPr>
      <w:r>
        <w:t>34%</w:t>
      </w:r>
      <w:r w:rsidRPr="006F1FAE">
        <w:t xml:space="preserve"> </w:t>
      </w:r>
      <w:r>
        <w:t>very concerned about the impacts of climate change on human health and wellbeing (22% males).</w:t>
      </w:r>
    </w:p>
    <w:p w14:paraId="52DC9D2C" w14:textId="77777777" w:rsidR="00922098" w:rsidRDefault="00922098" w:rsidP="00922098">
      <w:pPr>
        <w:pStyle w:val="ListParagraph"/>
        <w:numPr>
          <w:ilvl w:val="0"/>
          <w:numId w:val="3"/>
        </w:numPr>
      </w:pPr>
      <w:r>
        <w:t>31% think climate change will harm the health of Victorians a great deal (13% males).</w:t>
      </w:r>
    </w:p>
    <w:p w14:paraId="7486816A" w14:textId="77777777" w:rsidR="00922098" w:rsidRDefault="00922098" w:rsidP="00922098">
      <w:pPr>
        <w:pStyle w:val="Heading3"/>
      </w:pPr>
      <w:bookmarkStart w:id="16" w:name="_Toc195192700"/>
      <w:r>
        <w:t>Males</w:t>
      </w:r>
      <w:bookmarkEnd w:id="16"/>
    </w:p>
    <w:p w14:paraId="671FB6F1" w14:textId="77777777" w:rsidR="00922098" w:rsidRPr="00BF4722" w:rsidRDefault="00922098" w:rsidP="00922098">
      <w:pPr>
        <w:pStyle w:val="ListParagraph"/>
        <w:numPr>
          <w:ilvl w:val="0"/>
          <w:numId w:val="3"/>
        </w:numPr>
      </w:pPr>
      <w:r>
        <w:t>51% self-reported lower levels of health (good, fair or poor) (45% females).</w:t>
      </w:r>
    </w:p>
    <w:p w14:paraId="46BA2A12" w14:textId="77777777" w:rsidR="00922098" w:rsidRPr="001E0D49" w:rsidRDefault="00922098" w:rsidP="00922098">
      <w:pPr>
        <w:pStyle w:val="ListParagraph"/>
        <w:numPr>
          <w:ilvl w:val="0"/>
          <w:numId w:val="3"/>
        </w:numPr>
      </w:pPr>
      <w:r>
        <w:t>16% had sought professional help for a mental health related problem (32% females).</w:t>
      </w:r>
    </w:p>
    <w:p w14:paraId="6EECCB4E" w14:textId="77777777" w:rsidR="00922098" w:rsidRPr="003C2A39" w:rsidRDefault="00922098" w:rsidP="00922098">
      <w:pPr>
        <w:pStyle w:val="ListParagraph"/>
        <w:numPr>
          <w:ilvl w:val="0"/>
          <w:numId w:val="3"/>
        </w:numPr>
      </w:pPr>
      <w:r>
        <w:t>33% member of a sports group (23% females).</w:t>
      </w:r>
    </w:p>
    <w:p w14:paraId="0D405637" w14:textId="77777777" w:rsidR="00922098" w:rsidRPr="003C2A39" w:rsidRDefault="00922098" w:rsidP="00922098">
      <w:pPr>
        <w:pStyle w:val="ListParagraph"/>
        <w:numPr>
          <w:ilvl w:val="0"/>
          <w:numId w:val="3"/>
        </w:numPr>
      </w:pPr>
      <w:r>
        <w:t>22% eat fast food more than once a week (10% females).</w:t>
      </w:r>
    </w:p>
    <w:p w14:paraId="78383E97" w14:textId="77777777" w:rsidR="00922098" w:rsidRPr="003C2A39" w:rsidRDefault="00922098" w:rsidP="00922098">
      <w:pPr>
        <w:pStyle w:val="ListParagraph"/>
        <w:numPr>
          <w:ilvl w:val="0"/>
          <w:numId w:val="3"/>
        </w:numPr>
      </w:pPr>
      <w:r>
        <w:t>50% meet water consumption guidelines (8+ glasses a day) (35% females).</w:t>
      </w:r>
    </w:p>
    <w:p w14:paraId="20C6130E" w14:textId="77777777" w:rsidR="00922098" w:rsidRPr="003C2A39" w:rsidRDefault="00922098" w:rsidP="00922098">
      <w:pPr>
        <w:pStyle w:val="ListParagraph"/>
        <w:numPr>
          <w:ilvl w:val="0"/>
          <w:numId w:val="3"/>
        </w:numPr>
      </w:pPr>
      <w:r>
        <w:t>37% consume sugar sweetened drinks more than once a week (23% females).</w:t>
      </w:r>
    </w:p>
    <w:p w14:paraId="69D5BEA6" w14:textId="77777777" w:rsidR="00922098" w:rsidRPr="00643ABD" w:rsidRDefault="00922098" w:rsidP="00922098">
      <w:pPr>
        <w:pStyle w:val="ListParagraph"/>
        <w:numPr>
          <w:ilvl w:val="0"/>
          <w:numId w:val="3"/>
        </w:numPr>
      </w:pPr>
      <w:r>
        <w:t>35% walk continuously for more than 10 minutes 7+ times a week (30% females).</w:t>
      </w:r>
    </w:p>
    <w:p w14:paraId="47FFD9D8" w14:textId="77777777" w:rsidR="00922098" w:rsidRPr="00655F43" w:rsidRDefault="00922098" w:rsidP="00922098">
      <w:pPr>
        <w:pStyle w:val="ListParagraph"/>
        <w:numPr>
          <w:ilvl w:val="0"/>
          <w:numId w:val="3"/>
        </w:numPr>
      </w:pPr>
      <w:r>
        <w:t>24% cycle continuously for more than 10 minutes at least once a week (11% females).</w:t>
      </w:r>
    </w:p>
    <w:p w14:paraId="3D5510C1" w14:textId="77777777" w:rsidR="00922098" w:rsidRPr="00655F43" w:rsidRDefault="00922098" w:rsidP="00922098">
      <w:pPr>
        <w:pStyle w:val="ListParagraph"/>
        <w:numPr>
          <w:ilvl w:val="0"/>
          <w:numId w:val="3"/>
        </w:numPr>
      </w:pPr>
      <w:r>
        <w:t>23% lifetime risk of alcohol harm (12% females).</w:t>
      </w:r>
    </w:p>
    <w:p w14:paraId="03709B6D" w14:textId="77777777" w:rsidR="00922098" w:rsidRPr="004F16AC" w:rsidRDefault="00922098" w:rsidP="00922098">
      <w:pPr>
        <w:pStyle w:val="ListParagraph"/>
        <w:numPr>
          <w:ilvl w:val="0"/>
          <w:numId w:val="3"/>
        </w:numPr>
      </w:pPr>
      <w:r>
        <w:t>17% at risk of short term alcohol harm (6% females).</w:t>
      </w:r>
    </w:p>
    <w:p w14:paraId="120759E0" w14:textId="77777777" w:rsidR="00922098" w:rsidRPr="004F16AC" w:rsidRDefault="00922098" w:rsidP="00922098">
      <w:pPr>
        <w:pStyle w:val="ListParagraph"/>
        <w:numPr>
          <w:ilvl w:val="0"/>
          <w:numId w:val="3"/>
        </w:numPr>
      </w:pPr>
      <w:r>
        <w:t>12% smoke (7% females).</w:t>
      </w:r>
    </w:p>
    <w:p w14:paraId="3F0F9F79" w14:textId="77777777" w:rsidR="00922098" w:rsidRPr="00CF1D56" w:rsidRDefault="00922098" w:rsidP="00922098">
      <w:pPr>
        <w:pStyle w:val="ListParagraph"/>
        <w:numPr>
          <w:ilvl w:val="0"/>
          <w:numId w:val="3"/>
        </w:numPr>
      </w:pPr>
      <w:r>
        <w:t>84% could raise $2,000 in a week in an emergency (78% females).</w:t>
      </w:r>
    </w:p>
    <w:p w14:paraId="5565A82B" w14:textId="77777777" w:rsidR="00922098" w:rsidRDefault="00922098" w:rsidP="00922098">
      <w:pPr>
        <w:pStyle w:val="ListParagraph"/>
        <w:numPr>
          <w:ilvl w:val="0"/>
          <w:numId w:val="3"/>
        </w:numPr>
      </w:pPr>
      <w:r>
        <w:t>39% feel very safe in the area they live (29% females).</w:t>
      </w:r>
    </w:p>
    <w:p w14:paraId="37F150D7" w14:textId="77777777" w:rsidR="00922098" w:rsidRDefault="00922098" w:rsidP="00922098">
      <w:pPr>
        <w:pStyle w:val="Heading3"/>
      </w:pPr>
      <w:bookmarkStart w:id="17" w:name="_Toc195192701"/>
      <w:r>
        <w:t>Single parents with child/ren under 15</w:t>
      </w:r>
      <w:bookmarkEnd w:id="17"/>
    </w:p>
    <w:p w14:paraId="3FB70C11" w14:textId="77777777" w:rsidR="00922098" w:rsidRPr="001E0D49" w:rsidRDefault="00922098" w:rsidP="00922098">
      <w:pPr>
        <w:pStyle w:val="ListParagraph"/>
        <w:numPr>
          <w:ilvl w:val="0"/>
          <w:numId w:val="12"/>
        </w:numPr>
      </w:pPr>
      <w:r>
        <w:t>28% classified as being in severe or moderate psychological distress (9% couple no children).</w:t>
      </w:r>
    </w:p>
    <w:p w14:paraId="6C56B859" w14:textId="77777777" w:rsidR="00922098" w:rsidRPr="001E0D49" w:rsidRDefault="00922098" w:rsidP="00922098">
      <w:pPr>
        <w:pStyle w:val="ListParagraph"/>
        <w:numPr>
          <w:ilvl w:val="0"/>
          <w:numId w:val="12"/>
        </w:numPr>
      </w:pPr>
      <w:r>
        <w:t>53%% sought professional help for a mental health related problem (19% couple no children).</w:t>
      </w:r>
    </w:p>
    <w:p w14:paraId="55EB15CF" w14:textId="77777777" w:rsidR="00922098" w:rsidRPr="00655F43" w:rsidRDefault="00922098" w:rsidP="00922098">
      <w:pPr>
        <w:pStyle w:val="ListParagraph"/>
        <w:numPr>
          <w:ilvl w:val="0"/>
          <w:numId w:val="12"/>
        </w:numPr>
      </w:pPr>
      <w:r>
        <w:t>57%</w:t>
      </w:r>
      <w:r w:rsidRPr="001E0D49">
        <w:t xml:space="preserve"> </w:t>
      </w:r>
      <w:r>
        <w:t>classified as lonely (17% couple no kids).</w:t>
      </w:r>
    </w:p>
    <w:p w14:paraId="36B07A32" w14:textId="77777777" w:rsidR="00922098" w:rsidRPr="00655F43" w:rsidRDefault="00922098" w:rsidP="00922098">
      <w:pPr>
        <w:pStyle w:val="ListParagraph"/>
        <w:numPr>
          <w:ilvl w:val="0"/>
          <w:numId w:val="12"/>
        </w:numPr>
      </w:pPr>
      <w:r>
        <w:t>45% classified as obese (26% single households).</w:t>
      </w:r>
    </w:p>
    <w:p w14:paraId="2B4C9B65" w14:textId="77777777" w:rsidR="00922098" w:rsidRPr="004F16AC" w:rsidRDefault="00922098" w:rsidP="00922098">
      <w:pPr>
        <w:pStyle w:val="ListParagraph"/>
        <w:numPr>
          <w:ilvl w:val="0"/>
          <w:numId w:val="12"/>
        </w:numPr>
      </w:pPr>
      <w:r>
        <w:t>18% at risk of short term alcohol harm (9% couples child/ren all 15+).</w:t>
      </w:r>
    </w:p>
    <w:p w14:paraId="34F23341" w14:textId="77777777" w:rsidR="00922098" w:rsidRPr="004F16AC" w:rsidRDefault="00922098" w:rsidP="00922098">
      <w:pPr>
        <w:pStyle w:val="ListParagraph"/>
        <w:numPr>
          <w:ilvl w:val="0"/>
          <w:numId w:val="12"/>
        </w:numPr>
      </w:pPr>
      <w:r>
        <w:t>24% smoke (5% couples no children).</w:t>
      </w:r>
    </w:p>
    <w:p w14:paraId="4AA51BFB" w14:textId="77777777" w:rsidR="00922098" w:rsidRPr="000475D6" w:rsidRDefault="00922098" w:rsidP="00922098">
      <w:pPr>
        <w:pStyle w:val="ListParagraph"/>
        <w:numPr>
          <w:ilvl w:val="0"/>
          <w:numId w:val="12"/>
        </w:numPr>
      </w:pPr>
      <w:r>
        <w:lastRenderedPageBreak/>
        <w:t>Lower instance of having someone outside the household they can rely on in an emergency (70%, 87% couples).</w:t>
      </w:r>
    </w:p>
    <w:p w14:paraId="3B2F3E15" w14:textId="77777777" w:rsidR="00922098" w:rsidRPr="000475D6" w:rsidRDefault="00922098" w:rsidP="00922098">
      <w:pPr>
        <w:pStyle w:val="ListParagraph"/>
        <w:numPr>
          <w:ilvl w:val="0"/>
          <w:numId w:val="12"/>
        </w:numPr>
      </w:pPr>
      <w:r>
        <w:t>Lower instance of being able to raise $2,000 in an emergency (49%, 88% couple no children).</w:t>
      </w:r>
    </w:p>
    <w:p w14:paraId="1E6D7390" w14:textId="77777777" w:rsidR="00922098" w:rsidRPr="00CF1D56" w:rsidRDefault="00922098" w:rsidP="00922098">
      <w:pPr>
        <w:pStyle w:val="ListParagraph"/>
        <w:numPr>
          <w:ilvl w:val="0"/>
          <w:numId w:val="12"/>
        </w:numPr>
      </w:pPr>
      <w:r>
        <w:t>45% had run out of food and couldn’t afford to buy more (7% couple no children).</w:t>
      </w:r>
    </w:p>
    <w:p w14:paraId="67F71D2C" w14:textId="77777777" w:rsidR="00922098" w:rsidRDefault="00922098" w:rsidP="00922098">
      <w:pPr>
        <w:pStyle w:val="ListParagraph"/>
        <w:numPr>
          <w:ilvl w:val="0"/>
          <w:numId w:val="12"/>
        </w:numPr>
      </w:pPr>
      <w:r>
        <w:t>27% live in a home where the temperature is always uncomfortable (5% couples with child/ren under 15).</w:t>
      </w:r>
    </w:p>
    <w:p w14:paraId="0E27143A" w14:textId="77777777" w:rsidR="00922098" w:rsidRPr="006F1FAE" w:rsidRDefault="00922098" w:rsidP="00922098">
      <w:pPr>
        <w:pStyle w:val="ListParagraph"/>
        <w:numPr>
          <w:ilvl w:val="0"/>
          <w:numId w:val="12"/>
        </w:numPr>
      </w:pPr>
      <w:r>
        <w:t>19% rated the area where they live as more unsafe than other areas of Greater Geelong (8% single person).</w:t>
      </w:r>
    </w:p>
    <w:p w14:paraId="0C3FB67C" w14:textId="77777777" w:rsidR="00922098" w:rsidRDefault="00922098" w:rsidP="00922098">
      <w:pPr>
        <w:pStyle w:val="ListParagraph"/>
        <w:numPr>
          <w:ilvl w:val="0"/>
          <w:numId w:val="12"/>
        </w:numPr>
      </w:pPr>
      <w:r>
        <w:t>30%</w:t>
      </w:r>
      <w:r w:rsidRPr="00530928">
        <w:t xml:space="preserve"> </w:t>
      </w:r>
      <w:r>
        <w:t>had experienced discrimination (16% couples no children). Of these 55% said it was due to their marital status.</w:t>
      </w:r>
    </w:p>
    <w:p w14:paraId="03487C7B" w14:textId="77777777" w:rsidR="00922098" w:rsidRDefault="00922098" w:rsidP="00922098">
      <w:pPr>
        <w:pStyle w:val="Heading3"/>
      </w:pPr>
      <w:bookmarkStart w:id="18" w:name="_Toc195192702"/>
      <w:r>
        <w:t>Youth (18-24 year olds)</w:t>
      </w:r>
      <w:bookmarkStart w:id="19" w:name="_Hlk194392926"/>
      <w:r>
        <w:t>*</w:t>
      </w:r>
      <w:bookmarkEnd w:id="18"/>
      <w:bookmarkEnd w:id="19"/>
    </w:p>
    <w:p w14:paraId="0EDC2E76" w14:textId="77777777" w:rsidR="00922098" w:rsidRDefault="00922098" w:rsidP="00922098">
      <w:pPr>
        <w:pStyle w:val="ListParagraph"/>
        <w:numPr>
          <w:ilvl w:val="0"/>
          <w:numId w:val="14"/>
        </w:numPr>
        <w:spacing w:after="120" w:line="276" w:lineRule="auto"/>
      </w:pPr>
      <w:r>
        <w:t>58% self-reported health as excellent or very good (31% 75+ year olds).</w:t>
      </w:r>
    </w:p>
    <w:p w14:paraId="2FEF2C0D" w14:textId="77777777" w:rsidR="00922098" w:rsidRPr="003C2A39" w:rsidRDefault="00922098" w:rsidP="00922098">
      <w:pPr>
        <w:pStyle w:val="ListParagraph"/>
        <w:numPr>
          <w:ilvl w:val="0"/>
          <w:numId w:val="14"/>
        </w:numPr>
      </w:pPr>
      <w:r>
        <w:t>37% eat fast food more than once a week (17% 55+).</w:t>
      </w:r>
    </w:p>
    <w:p w14:paraId="0579CEA3" w14:textId="77777777" w:rsidR="00922098" w:rsidRPr="003C2A39" w:rsidRDefault="00922098" w:rsidP="00922098">
      <w:pPr>
        <w:pStyle w:val="ListParagraph"/>
        <w:numPr>
          <w:ilvl w:val="0"/>
          <w:numId w:val="14"/>
        </w:numPr>
      </w:pPr>
      <w:r>
        <w:t>55% meet water consumption guidelines (8+ glasses a day) (23% 55+).</w:t>
      </w:r>
    </w:p>
    <w:p w14:paraId="2CF8E383" w14:textId="77777777" w:rsidR="00922098" w:rsidRDefault="00922098" w:rsidP="00922098">
      <w:pPr>
        <w:pStyle w:val="ListParagraph"/>
        <w:numPr>
          <w:ilvl w:val="0"/>
          <w:numId w:val="14"/>
        </w:numPr>
        <w:spacing w:after="120" w:line="276" w:lineRule="auto"/>
      </w:pPr>
      <w:r>
        <w:t>48% normal weight as per their BMI (26% 55-74 year olds).</w:t>
      </w:r>
    </w:p>
    <w:p w14:paraId="633CD714" w14:textId="77777777" w:rsidR="00922098" w:rsidRDefault="00922098" w:rsidP="00922098">
      <w:pPr>
        <w:pStyle w:val="ListParagraph"/>
        <w:numPr>
          <w:ilvl w:val="0"/>
          <w:numId w:val="14"/>
        </w:numPr>
        <w:spacing w:after="120" w:line="276" w:lineRule="auto"/>
      </w:pPr>
      <w:r>
        <w:t>88% met physical activity guidelines (42% 75+).</w:t>
      </w:r>
    </w:p>
    <w:p w14:paraId="301406D7" w14:textId="77777777" w:rsidR="00922098" w:rsidRDefault="00922098" w:rsidP="00922098">
      <w:pPr>
        <w:pStyle w:val="ListParagraph"/>
        <w:numPr>
          <w:ilvl w:val="0"/>
          <w:numId w:val="14"/>
        </w:numPr>
        <w:spacing w:after="120" w:line="276" w:lineRule="auto"/>
      </w:pPr>
      <w:r>
        <w:t>43% abstain from drinking alcohol (20% 25-34 year olds).</w:t>
      </w:r>
    </w:p>
    <w:p w14:paraId="0B572127" w14:textId="77777777" w:rsidR="00922098" w:rsidRDefault="00922098" w:rsidP="00922098">
      <w:pPr>
        <w:pStyle w:val="ListParagraph"/>
        <w:numPr>
          <w:ilvl w:val="0"/>
          <w:numId w:val="14"/>
        </w:numPr>
        <w:spacing w:after="120" w:line="276" w:lineRule="auto"/>
      </w:pPr>
      <w:r>
        <w:t>90% never smoked nor vaped (58-62% 25-74 year olds). Of the 10% who had, they had only vaped.</w:t>
      </w:r>
    </w:p>
    <w:p w14:paraId="289F8DBE" w14:textId="77777777" w:rsidR="00922098" w:rsidRDefault="00922098" w:rsidP="00922098">
      <w:pPr>
        <w:pStyle w:val="ListParagraph"/>
        <w:numPr>
          <w:ilvl w:val="0"/>
          <w:numId w:val="14"/>
        </w:numPr>
        <w:spacing w:after="120" w:line="276" w:lineRule="auto"/>
      </w:pPr>
      <w:r>
        <w:t>18% in severe psychological distress (Kessler 10) (8% or less for other age categories).</w:t>
      </w:r>
    </w:p>
    <w:p w14:paraId="0C0D6AD3" w14:textId="77777777" w:rsidR="00922098" w:rsidRDefault="00922098" w:rsidP="00922098">
      <w:pPr>
        <w:pStyle w:val="ListParagraph"/>
        <w:numPr>
          <w:ilvl w:val="0"/>
          <w:numId w:val="14"/>
        </w:numPr>
        <w:spacing w:after="120" w:line="276" w:lineRule="auto"/>
      </w:pPr>
      <w:r>
        <w:t>60% classified as lonely (&lt;30% for other age categories).</w:t>
      </w:r>
    </w:p>
    <w:p w14:paraId="79C7C7FD" w14:textId="77777777" w:rsidR="00922098" w:rsidRDefault="00922098" w:rsidP="00922098">
      <w:pPr>
        <w:pStyle w:val="ListParagraph"/>
        <w:numPr>
          <w:ilvl w:val="0"/>
          <w:numId w:val="14"/>
        </w:numPr>
        <w:spacing w:after="120" w:line="276" w:lineRule="auto"/>
      </w:pPr>
      <w:r>
        <w:t>20% don’t have someone outside of their household they can call on in an emergency (6% 25-34 year olds).</w:t>
      </w:r>
    </w:p>
    <w:p w14:paraId="00501C9D" w14:textId="77777777" w:rsidR="00922098" w:rsidRDefault="00922098" w:rsidP="00922098">
      <w:pPr>
        <w:pStyle w:val="ListParagraph"/>
        <w:numPr>
          <w:ilvl w:val="0"/>
          <w:numId w:val="14"/>
        </w:numPr>
        <w:spacing w:after="120" w:line="276" w:lineRule="auto"/>
      </w:pPr>
      <w:r>
        <w:t>21% had run out of food and couldn’t afford to buy more (11% or less for other age categories).</w:t>
      </w:r>
    </w:p>
    <w:p w14:paraId="1C667580" w14:textId="77777777" w:rsidR="00922098" w:rsidRDefault="00922098" w:rsidP="00922098">
      <w:pPr>
        <w:pStyle w:val="ListParagraph"/>
        <w:numPr>
          <w:ilvl w:val="0"/>
          <w:numId w:val="14"/>
        </w:numPr>
        <w:spacing w:after="120" w:line="276" w:lineRule="auto"/>
      </w:pPr>
      <w:r>
        <w:t>20% had worried about running out of food (3% 65+).</w:t>
      </w:r>
    </w:p>
    <w:p w14:paraId="21B66766" w14:textId="77777777" w:rsidR="00922098" w:rsidRDefault="00922098" w:rsidP="00922098">
      <w:pPr>
        <w:pStyle w:val="ListParagraph"/>
        <w:numPr>
          <w:ilvl w:val="0"/>
          <w:numId w:val="14"/>
        </w:numPr>
        <w:spacing w:after="120" w:line="276" w:lineRule="auto"/>
      </w:pPr>
      <w:r>
        <w:t>7% felt very unsafe where they live (2% or less for other age categories).</w:t>
      </w:r>
    </w:p>
    <w:p w14:paraId="6DA9893F" w14:textId="77777777" w:rsidR="00922098" w:rsidRDefault="00922098" w:rsidP="00922098">
      <w:pPr>
        <w:pStyle w:val="ListParagraph"/>
        <w:numPr>
          <w:ilvl w:val="0"/>
          <w:numId w:val="14"/>
        </w:numPr>
        <w:spacing w:after="120" w:line="276" w:lineRule="auto"/>
      </w:pPr>
      <w:r>
        <w:t>20% felt more unsafe in the area where they live than other areas of Greater Geelong (4% 65+).</w:t>
      </w:r>
    </w:p>
    <w:p w14:paraId="1C0323E2" w14:textId="77777777" w:rsidR="00922098" w:rsidRDefault="00922098" w:rsidP="00922098">
      <w:pPr>
        <w:pStyle w:val="ListParagraph"/>
        <w:numPr>
          <w:ilvl w:val="0"/>
          <w:numId w:val="14"/>
        </w:numPr>
        <w:spacing w:after="120" w:line="276" w:lineRule="auto"/>
      </w:pPr>
      <w:r>
        <w:t>26% think multiculturalism in their suburb definitely makes life better (54% 25-34 year olds).</w:t>
      </w:r>
    </w:p>
    <w:p w14:paraId="3F846174" w14:textId="77777777" w:rsidR="00922098" w:rsidRDefault="00922098" w:rsidP="00922098">
      <w:pPr>
        <w:pStyle w:val="ListParagraph"/>
        <w:numPr>
          <w:ilvl w:val="0"/>
          <w:numId w:val="14"/>
        </w:numPr>
        <w:spacing w:after="120" w:line="276" w:lineRule="auto"/>
      </w:pPr>
      <w:r>
        <w:t>27% had experienced discrimination (9% 65+ year olds).</w:t>
      </w:r>
    </w:p>
    <w:p w14:paraId="549B7C80" w14:textId="77777777" w:rsidR="00922098" w:rsidRDefault="00922098" w:rsidP="00922098">
      <w:pPr>
        <w:pStyle w:val="ListParagraph"/>
        <w:numPr>
          <w:ilvl w:val="0"/>
          <w:numId w:val="14"/>
        </w:numPr>
        <w:spacing w:after="120" w:line="276" w:lineRule="auto"/>
      </w:pPr>
      <w:r>
        <w:t>26% not very concerned about climate change (11% 25-34 year olds).</w:t>
      </w:r>
    </w:p>
    <w:p w14:paraId="6C0420C6" w14:textId="77777777" w:rsidR="00922098" w:rsidRDefault="00922098" w:rsidP="00922098">
      <w:pPr>
        <w:pStyle w:val="ListParagraph"/>
        <w:numPr>
          <w:ilvl w:val="0"/>
          <w:numId w:val="14"/>
        </w:numPr>
        <w:spacing w:after="120" w:line="276" w:lineRule="auto"/>
      </w:pPr>
      <w:r>
        <w:t>82% of those who were concerned about climate change said they were concerned about their quality of life (27% 75+).</w:t>
      </w:r>
    </w:p>
    <w:p w14:paraId="756A49CE" w14:textId="77777777" w:rsidR="00922098" w:rsidRDefault="00922098" w:rsidP="00922098">
      <w:pPr>
        <w:pStyle w:val="ListParagraph"/>
        <w:numPr>
          <w:ilvl w:val="0"/>
          <w:numId w:val="14"/>
        </w:numPr>
        <w:spacing w:after="120" w:line="276" w:lineRule="auto"/>
      </w:pPr>
      <w:r>
        <w:t>30% didn’t think climate change would harm the health of Victorians in the next 10 years at all (7% 25-34 year olds).</w:t>
      </w:r>
    </w:p>
    <w:p w14:paraId="099E6A09" w14:textId="77777777" w:rsidR="00922098" w:rsidRPr="008F68D1" w:rsidRDefault="00922098" w:rsidP="00922098">
      <w:pPr>
        <w:rPr>
          <w:bCs/>
          <w:color w:val="156082" w:themeColor="accent1"/>
          <w:spacing w:val="15"/>
          <w:sz w:val="18"/>
          <w:szCs w:val="18"/>
        </w:rPr>
      </w:pPr>
      <w:r w:rsidRPr="008F68D1">
        <w:rPr>
          <w:bCs/>
          <w:color w:val="156082" w:themeColor="accent1"/>
          <w:spacing w:val="15"/>
          <w:sz w:val="18"/>
          <w:szCs w:val="18"/>
        </w:rPr>
        <w:t>*</w:t>
      </w:r>
      <w:r>
        <w:rPr>
          <w:bCs/>
          <w:color w:val="156082" w:themeColor="accent1"/>
          <w:spacing w:val="15"/>
          <w:sz w:val="18"/>
          <w:szCs w:val="18"/>
        </w:rPr>
        <w:t>P</w:t>
      </w:r>
      <w:r w:rsidRPr="008F68D1">
        <w:rPr>
          <w:bCs/>
          <w:color w:val="156082" w:themeColor="accent1"/>
          <w:spacing w:val="15"/>
          <w:sz w:val="18"/>
          <w:szCs w:val="18"/>
        </w:rPr>
        <w:t>lease interpret with caution due to low sample size</w:t>
      </w:r>
    </w:p>
    <w:p w14:paraId="1D569B09" w14:textId="77777777" w:rsidR="00922098" w:rsidRDefault="00922098" w:rsidP="00922098">
      <w:pPr>
        <w:pStyle w:val="Heading3"/>
      </w:pPr>
      <w:bookmarkStart w:id="20" w:name="_Toc195192703"/>
      <w:r>
        <w:t>Young adults (18-35 year olds)</w:t>
      </w:r>
      <w:bookmarkEnd w:id="20"/>
    </w:p>
    <w:p w14:paraId="1E8671DA" w14:textId="77777777" w:rsidR="00922098" w:rsidRDefault="00922098" w:rsidP="00922098">
      <w:pPr>
        <w:pStyle w:val="ListParagraph"/>
        <w:numPr>
          <w:ilvl w:val="0"/>
          <w:numId w:val="3"/>
        </w:numPr>
      </w:pPr>
      <w:r>
        <w:t>60% Self-reported good health (excellent or very good) (38% 65+ year olds).</w:t>
      </w:r>
    </w:p>
    <w:p w14:paraId="26CA79E9" w14:textId="77777777" w:rsidR="00922098" w:rsidRPr="00E85841" w:rsidRDefault="00922098" w:rsidP="00922098">
      <w:pPr>
        <w:pStyle w:val="ListParagraph"/>
        <w:numPr>
          <w:ilvl w:val="0"/>
          <w:numId w:val="3"/>
        </w:numPr>
      </w:pPr>
      <w:r>
        <w:t>18% classified as being in severe or moderate psychological distress (8% 55+).</w:t>
      </w:r>
    </w:p>
    <w:p w14:paraId="40B39E96" w14:textId="77777777" w:rsidR="00922098" w:rsidRPr="001E0D49" w:rsidRDefault="00922098" w:rsidP="00922098">
      <w:pPr>
        <w:pStyle w:val="ListParagraph"/>
        <w:numPr>
          <w:ilvl w:val="0"/>
          <w:numId w:val="3"/>
        </w:numPr>
      </w:pPr>
      <w:r>
        <w:lastRenderedPageBreak/>
        <w:t>35% sought professional help for a mental health related problem (14% 55+).</w:t>
      </w:r>
    </w:p>
    <w:p w14:paraId="45D7AA26" w14:textId="77777777" w:rsidR="00922098" w:rsidRPr="001E0D49" w:rsidRDefault="00922098" w:rsidP="00922098">
      <w:pPr>
        <w:pStyle w:val="ListParagraph"/>
        <w:numPr>
          <w:ilvl w:val="0"/>
          <w:numId w:val="3"/>
        </w:numPr>
      </w:pPr>
      <w:r>
        <w:t>31% classified as lonely (22% 55+ year olds).</w:t>
      </w:r>
    </w:p>
    <w:p w14:paraId="7DA73C7B" w14:textId="77777777" w:rsidR="00922098" w:rsidRPr="003C2A39" w:rsidRDefault="00922098" w:rsidP="00922098">
      <w:pPr>
        <w:pStyle w:val="ListParagraph"/>
        <w:numPr>
          <w:ilvl w:val="0"/>
          <w:numId w:val="3"/>
        </w:numPr>
      </w:pPr>
      <w:r>
        <w:t>16% member of a professional group or academic society (8% 55+).</w:t>
      </w:r>
    </w:p>
    <w:p w14:paraId="13C8423B" w14:textId="77777777" w:rsidR="00922098" w:rsidRPr="003C2A39" w:rsidRDefault="00922098" w:rsidP="00922098">
      <w:pPr>
        <w:pStyle w:val="ListParagraph"/>
        <w:numPr>
          <w:ilvl w:val="0"/>
          <w:numId w:val="3"/>
        </w:numPr>
      </w:pPr>
      <w:r>
        <w:t>22% eat fast food more than once a week (17% 55+).</w:t>
      </w:r>
    </w:p>
    <w:p w14:paraId="04A19B8B" w14:textId="77777777" w:rsidR="00922098" w:rsidRPr="003C2A39" w:rsidRDefault="00922098" w:rsidP="00922098">
      <w:pPr>
        <w:pStyle w:val="ListParagraph"/>
        <w:numPr>
          <w:ilvl w:val="0"/>
          <w:numId w:val="3"/>
        </w:numPr>
      </w:pPr>
      <w:r>
        <w:t>57% meet water consumption guidelines (8+ glasses a day) (23% 55+).</w:t>
      </w:r>
    </w:p>
    <w:p w14:paraId="46D8C943" w14:textId="77777777" w:rsidR="00922098" w:rsidRPr="003C2A39" w:rsidRDefault="00922098" w:rsidP="00922098">
      <w:pPr>
        <w:pStyle w:val="ListParagraph"/>
        <w:numPr>
          <w:ilvl w:val="0"/>
          <w:numId w:val="3"/>
        </w:numPr>
      </w:pPr>
      <w:r>
        <w:t>39% consume sugar sweetened drinks more than once a week (21% 55+).</w:t>
      </w:r>
    </w:p>
    <w:p w14:paraId="05ADD7CD" w14:textId="77777777" w:rsidR="00922098" w:rsidRPr="003C2A39" w:rsidRDefault="00922098" w:rsidP="00922098">
      <w:pPr>
        <w:pStyle w:val="ListParagraph"/>
        <w:numPr>
          <w:ilvl w:val="0"/>
          <w:numId w:val="3"/>
        </w:numPr>
      </w:pPr>
      <w:r>
        <w:t>Lower instance of meeting physical activity guidelines (7%, 60% 55+).</w:t>
      </w:r>
    </w:p>
    <w:p w14:paraId="793C7962" w14:textId="77777777" w:rsidR="00922098" w:rsidRPr="00655F43" w:rsidRDefault="00922098" w:rsidP="00922098">
      <w:pPr>
        <w:pStyle w:val="ListParagraph"/>
        <w:numPr>
          <w:ilvl w:val="0"/>
          <w:numId w:val="3"/>
        </w:numPr>
      </w:pPr>
      <w:r>
        <w:t>39% walk continuously for more than 10 minutes 7+ times a week (27% 55+).</w:t>
      </w:r>
    </w:p>
    <w:p w14:paraId="2009A15C" w14:textId="77777777" w:rsidR="00922098" w:rsidRPr="00655F43" w:rsidRDefault="00922098" w:rsidP="00922098">
      <w:pPr>
        <w:pStyle w:val="ListParagraph"/>
        <w:numPr>
          <w:ilvl w:val="0"/>
          <w:numId w:val="3"/>
        </w:numPr>
      </w:pPr>
      <w:r>
        <w:t>23% sedentary (13% 35-54).</w:t>
      </w:r>
    </w:p>
    <w:p w14:paraId="2C800A89" w14:textId="77777777" w:rsidR="00922098" w:rsidRPr="004F16AC" w:rsidRDefault="00922098" w:rsidP="00922098">
      <w:pPr>
        <w:pStyle w:val="ListParagraph"/>
        <w:numPr>
          <w:ilvl w:val="0"/>
          <w:numId w:val="3"/>
        </w:numPr>
      </w:pPr>
      <w:r>
        <w:t>17% at risk of short term alcohol harm (7% 55+).</w:t>
      </w:r>
    </w:p>
    <w:p w14:paraId="4720E184" w14:textId="77777777" w:rsidR="00922098" w:rsidRPr="004F16AC" w:rsidRDefault="00922098" w:rsidP="00922098">
      <w:pPr>
        <w:pStyle w:val="ListParagraph"/>
        <w:numPr>
          <w:ilvl w:val="0"/>
          <w:numId w:val="3"/>
        </w:numPr>
      </w:pPr>
      <w:r>
        <w:t>Fewer smoke (8%, 13% 35-54).</w:t>
      </w:r>
    </w:p>
    <w:p w14:paraId="53786430" w14:textId="77777777" w:rsidR="00922098" w:rsidRPr="004F16AC" w:rsidRDefault="00922098" w:rsidP="00922098">
      <w:pPr>
        <w:pStyle w:val="ListParagraph"/>
        <w:numPr>
          <w:ilvl w:val="0"/>
          <w:numId w:val="3"/>
        </w:numPr>
      </w:pPr>
      <w:r>
        <w:t>6% vape (&lt;1% 55+).</w:t>
      </w:r>
    </w:p>
    <w:p w14:paraId="4CA85A1B" w14:textId="77777777" w:rsidR="00922098" w:rsidRPr="004F16AC" w:rsidRDefault="00922098" w:rsidP="00922098">
      <w:pPr>
        <w:pStyle w:val="ListParagraph"/>
        <w:numPr>
          <w:ilvl w:val="0"/>
          <w:numId w:val="3"/>
        </w:numPr>
      </w:pPr>
      <w:r>
        <w:t>91% have someone outside the household they can rely on in an emergency (84% 55+).</w:t>
      </w:r>
    </w:p>
    <w:p w14:paraId="7195A163" w14:textId="77777777" w:rsidR="00922098" w:rsidRPr="000475D6" w:rsidRDefault="00922098" w:rsidP="00922098">
      <w:pPr>
        <w:pStyle w:val="ListParagraph"/>
        <w:numPr>
          <w:ilvl w:val="0"/>
          <w:numId w:val="3"/>
        </w:numPr>
      </w:pPr>
      <w:r>
        <w:t>83% could raise $2,000 in a week in an emergency (76% 35-54).</w:t>
      </w:r>
    </w:p>
    <w:p w14:paraId="145D3C2B" w14:textId="77777777" w:rsidR="00922098" w:rsidRPr="000475D6" w:rsidRDefault="00922098" w:rsidP="00922098">
      <w:pPr>
        <w:pStyle w:val="ListParagraph"/>
        <w:numPr>
          <w:ilvl w:val="0"/>
          <w:numId w:val="3"/>
        </w:numPr>
      </w:pPr>
      <w:r>
        <w:t>9% had run out of food and couldn’t afford to buy more (4% 55+).</w:t>
      </w:r>
    </w:p>
    <w:p w14:paraId="57D9F1FF" w14:textId="77777777" w:rsidR="00922098" w:rsidRDefault="00922098" w:rsidP="00922098">
      <w:pPr>
        <w:pStyle w:val="ListParagraph"/>
        <w:numPr>
          <w:ilvl w:val="0"/>
          <w:numId w:val="3"/>
        </w:numPr>
      </w:pPr>
      <w:r>
        <w:t>12% live in a home where the temperature is always uncomfortable (3% 55+).</w:t>
      </w:r>
    </w:p>
    <w:p w14:paraId="5F259C33" w14:textId="77777777" w:rsidR="00922098" w:rsidRDefault="00922098" w:rsidP="00922098">
      <w:pPr>
        <w:pStyle w:val="ListParagraph"/>
        <w:numPr>
          <w:ilvl w:val="0"/>
          <w:numId w:val="3"/>
        </w:numPr>
      </w:pPr>
      <w:r>
        <w:t>10% feel unsafe in the area where they live (4% 35-54).</w:t>
      </w:r>
    </w:p>
    <w:p w14:paraId="40E64531" w14:textId="77777777" w:rsidR="00922098" w:rsidRPr="00530928" w:rsidRDefault="00922098" w:rsidP="00922098">
      <w:pPr>
        <w:pStyle w:val="ListParagraph"/>
        <w:numPr>
          <w:ilvl w:val="0"/>
          <w:numId w:val="3"/>
        </w:numPr>
      </w:pPr>
      <w:r>
        <w:t>13% rated the area where they live as more unsafe than other areas of Greater Geelong (5% 55+).</w:t>
      </w:r>
    </w:p>
    <w:p w14:paraId="5CF93B85" w14:textId="77777777" w:rsidR="00922098" w:rsidRPr="00530928" w:rsidRDefault="00922098" w:rsidP="00922098">
      <w:pPr>
        <w:pStyle w:val="ListParagraph"/>
        <w:numPr>
          <w:ilvl w:val="0"/>
          <w:numId w:val="3"/>
        </w:numPr>
      </w:pPr>
      <w:r>
        <w:t>51% said they ‘definitely’ think multiculturalism makes life in their suburb better (35% 55+).</w:t>
      </w:r>
    </w:p>
    <w:p w14:paraId="606D4B89" w14:textId="77777777" w:rsidR="00922098" w:rsidRDefault="00922098" w:rsidP="00922098">
      <w:pPr>
        <w:pStyle w:val="ListParagraph"/>
        <w:numPr>
          <w:ilvl w:val="0"/>
          <w:numId w:val="3"/>
        </w:numPr>
      </w:pPr>
      <w:r>
        <w:t>18%</w:t>
      </w:r>
      <w:r w:rsidRPr="00530928">
        <w:t xml:space="preserve"> </w:t>
      </w:r>
      <w:r>
        <w:t>had experienced discrimination (13% 55+).</w:t>
      </w:r>
    </w:p>
    <w:p w14:paraId="5BF7A806" w14:textId="77777777" w:rsidR="00922098" w:rsidRDefault="00922098" w:rsidP="00922098">
      <w:pPr>
        <w:pStyle w:val="Heading3"/>
      </w:pPr>
      <w:bookmarkStart w:id="21" w:name="_Toc195192704"/>
      <w:r>
        <w:t>Older adults (55+ year olds)</w:t>
      </w:r>
      <w:bookmarkEnd w:id="21"/>
    </w:p>
    <w:p w14:paraId="46F5E58A" w14:textId="77777777" w:rsidR="00922098" w:rsidRPr="001E0D49" w:rsidRDefault="00922098" w:rsidP="00922098">
      <w:pPr>
        <w:pStyle w:val="ListParagraph"/>
        <w:numPr>
          <w:ilvl w:val="0"/>
          <w:numId w:val="3"/>
        </w:numPr>
      </w:pPr>
      <w:r>
        <w:t>59% self-reported lower levels of health (good, fair or poor) (42% &lt;55).</w:t>
      </w:r>
    </w:p>
    <w:p w14:paraId="6273C688" w14:textId="77777777" w:rsidR="00922098" w:rsidRPr="00655F43" w:rsidRDefault="00922098" w:rsidP="00922098">
      <w:pPr>
        <w:pStyle w:val="ListParagraph"/>
        <w:numPr>
          <w:ilvl w:val="0"/>
          <w:numId w:val="3"/>
        </w:numPr>
      </w:pPr>
      <w:r>
        <w:t>13% member of a religious group (8% &lt;35).</w:t>
      </w:r>
    </w:p>
    <w:p w14:paraId="0E9442B9" w14:textId="77777777" w:rsidR="00922098" w:rsidRPr="00655F43" w:rsidRDefault="00922098" w:rsidP="00922098">
      <w:pPr>
        <w:pStyle w:val="ListParagraph"/>
        <w:numPr>
          <w:ilvl w:val="0"/>
          <w:numId w:val="3"/>
        </w:numPr>
      </w:pPr>
      <w:r>
        <w:t>21% sedentary (13% 35-54).</w:t>
      </w:r>
    </w:p>
    <w:p w14:paraId="68D07B96" w14:textId="77777777" w:rsidR="00922098" w:rsidRPr="00655F43" w:rsidRDefault="00922098" w:rsidP="00922098">
      <w:pPr>
        <w:pStyle w:val="ListParagraph"/>
        <w:numPr>
          <w:ilvl w:val="0"/>
          <w:numId w:val="3"/>
        </w:numPr>
      </w:pPr>
      <w:r>
        <w:t>31% classified as obese (22% &lt;35).</w:t>
      </w:r>
    </w:p>
    <w:p w14:paraId="2122152B" w14:textId="77777777" w:rsidR="00922098" w:rsidRPr="004F16AC" w:rsidRDefault="00922098" w:rsidP="00922098">
      <w:pPr>
        <w:pStyle w:val="ListParagraph"/>
        <w:numPr>
          <w:ilvl w:val="0"/>
          <w:numId w:val="3"/>
        </w:numPr>
      </w:pPr>
      <w:r>
        <w:t>20% lifetime risk of alcohol harm (13% &lt;35).</w:t>
      </w:r>
    </w:p>
    <w:p w14:paraId="3392C6C6" w14:textId="77777777" w:rsidR="00922098" w:rsidRPr="00CF1D56" w:rsidRDefault="00922098" w:rsidP="00922098">
      <w:pPr>
        <w:pStyle w:val="ListParagraph"/>
        <w:numPr>
          <w:ilvl w:val="0"/>
          <w:numId w:val="3"/>
        </w:numPr>
      </w:pPr>
      <w:r>
        <w:t>Fewer smoke (8%, 13% 35-54).</w:t>
      </w:r>
    </w:p>
    <w:p w14:paraId="20E05D98" w14:textId="77777777" w:rsidR="00922098" w:rsidRPr="006F1FAE" w:rsidRDefault="00922098" w:rsidP="00922098">
      <w:pPr>
        <w:pStyle w:val="ListParagraph"/>
        <w:numPr>
          <w:ilvl w:val="0"/>
          <w:numId w:val="3"/>
        </w:numPr>
      </w:pPr>
      <w:r>
        <w:t>37% feel very safe in the area they live (30% &lt;35).</w:t>
      </w:r>
    </w:p>
    <w:p w14:paraId="5A734484" w14:textId="77777777" w:rsidR="00922098" w:rsidRPr="006F1FAE" w:rsidRDefault="00922098" w:rsidP="00922098">
      <w:pPr>
        <w:pStyle w:val="ListParagraph"/>
        <w:numPr>
          <w:ilvl w:val="0"/>
          <w:numId w:val="3"/>
        </w:numPr>
      </w:pPr>
      <w:r>
        <w:t>55% of those who had experienced discrimination (n=192) said it was due to their age.</w:t>
      </w:r>
    </w:p>
    <w:p w14:paraId="131873EB" w14:textId="77777777" w:rsidR="00922098" w:rsidRPr="006F1FAE" w:rsidRDefault="00922098" w:rsidP="00922098">
      <w:pPr>
        <w:pStyle w:val="ListParagraph"/>
        <w:numPr>
          <w:ilvl w:val="0"/>
          <w:numId w:val="3"/>
        </w:numPr>
      </w:pPr>
      <w:r>
        <w:t>15% not at all concerned about the impacts of climate change on human health and wellbeing (10% &lt;35).</w:t>
      </w:r>
    </w:p>
    <w:p w14:paraId="2C23AA6E" w14:textId="77777777" w:rsidR="00922098" w:rsidRDefault="00922098" w:rsidP="00922098">
      <w:pPr>
        <w:pStyle w:val="ListParagraph"/>
        <w:numPr>
          <w:ilvl w:val="0"/>
          <w:numId w:val="3"/>
        </w:numPr>
      </w:pPr>
      <w:r>
        <w:t>24% think climate change will harm the health of Victorians a great deal (17% 35-54).</w:t>
      </w:r>
    </w:p>
    <w:p w14:paraId="6F4E104E" w14:textId="77777777" w:rsidR="00922098" w:rsidRDefault="00922098" w:rsidP="00922098">
      <w:pPr>
        <w:pStyle w:val="Heading3"/>
      </w:pPr>
      <w:bookmarkStart w:id="22" w:name="_Toc195192705"/>
      <w:r>
        <w:t>Those who speak a language other than English</w:t>
      </w:r>
      <w:bookmarkEnd w:id="22"/>
    </w:p>
    <w:p w14:paraId="20D47214" w14:textId="77777777" w:rsidR="00922098" w:rsidRDefault="00922098" w:rsidP="00922098">
      <w:pPr>
        <w:pStyle w:val="ListParagraph"/>
        <w:numPr>
          <w:ilvl w:val="0"/>
          <w:numId w:val="3"/>
        </w:numPr>
        <w:spacing w:after="120" w:line="276" w:lineRule="auto"/>
      </w:pPr>
      <w:r>
        <w:t>Less often sought professional help for a mental health related problem (18%, 25% English only).</w:t>
      </w:r>
    </w:p>
    <w:p w14:paraId="112938EB" w14:textId="77777777" w:rsidR="00922098" w:rsidRPr="001E0D49" w:rsidRDefault="00922098" w:rsidP="00922098">
      <w:pPr>
        <w:pStyle w:val="ListParagraph"/>
        <w:numPr>
          <w:ilvl w:val="0"/>
          <w:numId w:val="3"/>
        </w:numPr>
        <w:spacing w:after="120" w:line="276" w:lineRule="auto"/>
      </w:pPr>
      <w:r>
        <w:t>Less often member of a sports group (15%, 29% English only).</w:t>
      </w:r>
    </w:p>
    <w:p w14:paraId="75794611" w14:textId="77777777" w:rsidR="00922098" w:rsidRPr="003C2A39" w:rsidRDefault="00922098" w:rsidP="00922098">
      <w:pPr>
        <w:pStyle w:val="ListParagraph"/>
        <w:numPr>
          <w:ilvl w:val="0"/>
          <w:numId w:val="3"/>
        </w:numPr>
        <w:spacing w:after="120" w:line="276" w:lineRule="auto"/>
      </w:pPr>
      <w:r>
        <w:t>22% member of a religious group (10% English only).</w:t>
      </w:r>
    </w:p>
    <w:p w14:paraId="4881EAF1" w14:textId="77777777" w:rsidR="00922098" w:rsidRPr="00655F43" w:rsidRDefault="00922098" w:rsidP="00922098">
      <w:pPr>
        <w:pStyle w:val="ListParagraph"/>
        <w:numPr>
          <w:ilvl w:val="0"/>
          <w:numId w:val="3"/>
        </w:numPr>
        <w:spacing w:after="120" w:line="276" w:lineRule="auto"/>
      </w:pPr>
      <w:r>
        <w:t>Lower instance of meeting physical activity guidelines (16%, 23% English only).</w:t>
      </w:r>
    </w:p>
    <w:p w14:paraId="3B1F07A0" w14:textId="77777777" w:rsidR="00922098" w:rsidRPr="004F16AC" w:rsidRDefault="00922098" w:rsidP="00922098">
      <w:pPr>
        <w:pStyle w:val="ListParagraph"/>
        <w:numPr>
          <w:ilvl w:val="0"/>
          <w:numId w:val="3"/>
        </w:numPr>
        <w:spacing w:after="120" w:line="276" w:lineRule="auto"/>
      </w:pPr>
      <w:r>
        <w:t>Less often lifetime risk of alcohol harm (10%, 18% English only).</w:t>
      </w:r>
    </w:p>
    <w:p w14:paraId="30746A6E" w14:textId="77777777" w:rsidR="00922098" w:rsidRPr="00CF1D56" w:rsidRDefault="00922098" w:rsidP="00922098">
      <w:pPr>
        <w:pStyle w:val="ListParagraph"/>
        <w:numPr>
          <w:ilvl w:val="0"/>
          <w:numId w:val="3"/>
        </w:numPr>
        <w:spacing w:after="120" w:line="276" w:lineRule="auto"/>
      </w:pPr>
      <w:r>
        <w:t>Lower instance of having someone outside the household they can rely on in an emergency (75%, 86% English only).</w:t>
      </w:r>
    </w:p>
    <w:p w14:paraId="7D23C79D" w14:textId="77777777" w:rsidR="00922098" w:rsidRPr="00530928" w:rsidRDefault="00922098" w:rsidP="00922098">
      <w:pPr>
        <w:pStyle w:val="ListParagraph"/>
        <w:numPr>
          <w:ilvl w:val="0"/>
          <w:numId w:val="3"/>
        </w:numPr>
        <w:spacing w:after="120" w:line="276" w:lineRule="auto"/>
      </w:pPr>
      <w:r>
        <w:lastRenderedPageBreak/>
        <w:t>Lower instance of feeling very safe in the area they live (24%, 35% English only).</w:t>
      </w:r>
    </w:p>
    <w:p w14:paraId="60ADC114" w14:textId="77777777" w:rsidR="00922098" w:rsidRPr="00530928" w:rsidRDefault="00922098" w:rsidP="00922098">
      <w:pPr>
        <w:pStyle w:val="ListParagraph"/>
        <w:numPr>
          <w:ilvl w:val="0"/>
          <w:numId w:val="3"/>
        </w:numPr>
        <w:spacing w:after="120" w:line="276" w:lineRule="auto"/>
      </w:pPr>
      <w:r>
        <w:t>Lower instance of rating the area where they live as more unsafe than other areas of Greater Geelong (2%, 9% English only).</w:t>
      </w:r>
    </w:p>
    <w:p w14:paraId="04D4FD9A" w14:textId="77777777" w:rsidR="00922098" w:rsidRPr="00530928" w:rsidRDefault="00922098" w:rsidP="00922098">
      <w:pPr>
        <w:pStyle w:val="ListParagraph"/>
        <w:numPr>
          <w:ilvl w:val="0"/>
          <w:numId w:val="3"/>
        </w:numPr>
        <w:spacing w:after="120" w:line="276" w:lineRule="auto"/>
      </w:pPr>
      <w:r>
        <w:t>56% said they ‘definitely’ think multiculturalism makes life in their suburb better (42% English only).</w:t>
      </w:r>
    </w:p>
    <w:p w14:paraId="7A11AE8B" w14:textId="77777777" w:rsidR="00922098" w:rsidRDefault="00922098" w:rsidP="00922098">
      <w:pPr>
        <w:pStyle w:val="ListParagraph"/>
        <w:numPr>
          <w:ilvl w:val="0"/>
          <w:numId w:val="3"/>
        </w:numPr>
        <w:spacing w:after="120" w:line="276" w:lineRule="auto"/>
      </w:pPr>
      <w:r>
        <w:t>24%</w:t>
      </w:r>
      <w:r w:rsidRPr="00530928">
        <w:t xml:space="preserve"> </w:t>
      </w:r>
      <w:r>
        <w:t>had experienced discrimination (15% English only). Of these 11% said it was due to the language they speak.</w:t>
      </w:r>
    </w:p>
    <w:p w14:paraId="13621424" w14:textId="77777777" w:rsidR="00922098" w:rsidRDefault="00922098" w:rsidP="00922098">
      <w:pPr>
        <w:pStyle w:val="Heading3"/>
      </w:pPr>
      <w:bookmarkStart w:id="23" w:name="_Toc195192706"/>
      <w:r>
        <w:t>LGBTQIA+</w:t>
      </w:r>
      <w:bookmarkEnd w:id="23"/>
    </w:p>
    <w:p w14:paraId="34AB767B" w14:textId="77777777" w:rsidR="00922098" w:rsidRPr="00647124" w:rsidRDefault="00922098" w:rsidP="00922098">
      <w:pPr>
        <w:pStyle w:val="ListParagraph"/>
        <w:numPr>
          <w:ilvl w:val="0"/>
          <w:numId w:val="3"/>
        </w:numPr>
        <w:spacing w:after="120" w:line="276" w:lineRule="auto"/>
      </w:pPr>
      <w:r>
        <w:t>65% self-reported lower levels of health (good, fair or poor) (47% non-LGBTQIA+).</w:t>
      </w:r>
    </w:p>
    <w:p w14:paraId="30ED1883" w14:textId="77777777" w:rsidR="00922098" w:rsidRPr="00E85841" w:rsidRDefault="00922098" w:rsidP="00922098">
      <w:pPr>
        <w:pStyle w:val="ListParagraph"/>
        <w:numPr>
          <w:ilvl w:val="0"/>
          <w:numId w:val="3"/>
        </w:numPr>
        <w:spacing w:after="120" w:line="276" w:lineRule="auto"/>
      </w:pPr>
      <w:r>
        <w:t>32% provided life satisfaction ratings of 0-6 out of 10 (20% non-LGBTQIA+).</w:t>
      </w:r>
    </w:p>
    <w:p w14:paraId="12D22C8A" w14:textId="77777777" w:rsidR="00922098" w:rsidRPr="001E0D49" w:rsidRDefault="00922098" w:rsidP="00922098">
      <w:pPr>
        <w:pStyle w:val="ListParagraph"/>
        <w:numPr>
          <w:ilvl w:val="0"/>
          <w:numId w:val="3"/>
        </w:numPr>
        <w:spacing w:after="120" w:line="276" w:lineRule="auto"/>
      </w:pPr>
      <w:r>
        <w:t>33% classified as being in severe or moderate psychological distress (11% non-LGBTQIA+).</w:t>
      </w:r>
    </w:p>
    <w:p w14:paraId="24036088" w14:textId="77777777" w:rsidR="00922098" w:rsidRPr="001E0D49" w:rsidRDefault="00922098" w:rsidP="00922098">
      <w:pPr>
        <w:pStyle w:val="ListParagraph"/>
        <w:numPr>
          <w:ilvl w:val="0"/>
          <w:numId w:val="3"/>
        </w:numPr>
        <w:spacing w:after="120" w:line="276" w:lineRule="auto"/>
      </w:pPr>
      <w:r>
        <w:t>47% % sought professional help for a mental health related problem (23% non-LGBTQIA+).</w:t>
      </w:r>
    </w:p>
    <w:p w14:paraId="309B164D" w14:textId="77777777" w:rsidR="00922098" w:rsidRPr="001E0D49" w:rsidRDefault="00922098" w:rsidP="00922098">
      <w:pPr>
        <w:pStyle w:val="ListParagraph"/>
        <w:numPr>
          <w:ilvl w:val="0"/>
          <w:numId w:val="3"/>
        </w:numPr>
        <w:spacing w:after="120" w:line="276" w:lineRule="auto"/>
      </w:pPr>
      <w:r>
        <w:t>39% classified as lonely (25% non-LGBTQIA+).</w:t>
      </w:r>
    </w:p>
    <w:p w14:paraId="48B35A18" w14:textId="77777777" w:rsidR="00922098" w:rsidRPr="001E0D49" w:rsidRDefault="00922098" w:rsidP="00922098">
      <w:pPr>
        <w:pStyle w:val="ListParagraph"/>
        <w:numPr>
          <w:ilvl w:val="0"/>
          <w:numId w:val="3"/>
        </w:numPr>
        <w:spacing w:after="120" w:line="276" w:lineRule="auto"/>
      </w:pPr>
      <w:r>
        <w:t>Less often member of a sports group (15%, 29% non-LGBTQIA+).</w:t>
      </w:r>
    </w:p>
    <w:p w14:paraId="2394278F" w14:textId="77777777" w:rsidR="00922098" w:rsidRPr="003C2A39" w:rsidRDefault="00922098" w:rsidP="00922098">
      <w:pPr>
        <w:pStyle w:val="ListParagraph"/>
        <w:numPr>
          <w:ilvl w:val="0"/>
          <w:numId w:val="3"/>
        </w:numPr>
        <w:spacing w:after="120" w:line="276" w:lineRule="auto"/>
      </w:pPr>
      <w:r>
        <w:t>26% member of a professional group or academic society (14% non-LGBTQIA+).</w:t>
      </w:r>
    </w:p>
    <w:p w14:paraId="05BE4E74" w14:textId="77777777" w:rsidR="00922098" w:rsidRPr="00655F43" w:rsidRDefault="00922098" w:rsidP="00922098">
      <w:pPr>
        <w:pStyle w:val="ListParagraph"/>
        <w:numPr>
          <w:ilvl w:val="0"/>
          <w:numId w:val="3"/>
        </w:numPr>
        <w:spacing w:after="120" w:line="276" w:lineRule="auto"/>
      </w:pPr>
      <w:r>
        <w:t>43% walk continuously for more than 10 minutes 7+ times a week (32% non-LGBTQIA+).</w:t>
      </w:r>
    </w:p>
    <w:p w14:paraId="70D45FC6" w14:textId="77777777" w:rsidR="00922098" w:rsidRPr="004F16AC" w:rsidRDefault="00922098" w:rsidP="00922098">
      <w:pPr>
        <w:pStyle w:val="ListParagraph"/>
        <w:numPr>
          <w:ilvl w:val="0"/>
          <w:numId w:val="3"/>
        </w:numPr>
        <w:spacing w:after="120" w:line="276" w:lineRule="auto"/>
      </w:pPr>
      <w:r>
        <w:t>Less often sedentary (10%, 20% non-LGBTQIA+).</w:t>
      </w:r>
    </w:p>
    <w:p w14:paraId="1E6B3282" w14:textId="77777777" w:rsidR="00922098" w:rsidRPr="004F16AC" w:rsidRDefault="00922098" w:rsidP="00922098">
      <w:pPr>
        <w:pStyle w:val="ListParagraph"/>
        <w:numPr>
          <w:ilvl w:val="0"/>
          <w:numId w:val="3"/>
        </w:numPr>
        <w:spacing w:after="120" w:line="276" w:lineRule="auto"/>
      </w:pPr>
      <w:r>
        <w:t>19% smoke (9% non-LGBTQIA+).</w:t>
      </w:r>
    </w:p>
    <w:p w14:paraId="117D5735" w14:textId="77777777" w:rsidR="00922098" w:rsidRPr="004F16AC" w:rsidRDefault="00922098" w:rsidP="00922098">
      <w:pPr>
        <w:pStyle w:val="ListParagraph"/>
        <w:numPr>
          <w:ilvl w:val="0"/>
          <w:numId w:val="3"/>
        </w:numPr>
        <w:spacing w:after="120" w:line="276" w:lineRule="auto"/>
      </w:pPr>
      <w:r>
        <w:t>Lower instance of having someone outside the household they can rely on in an emergency (75%, 86% non-LGBTQIA+).</w:t>
      </w:r>
    </w:p>
    <w:p w14:paraId="108745A7" w14:textId="77777777" w:rsidR="00922098" w:rsidRPr="000475D6" w:rsidRDefault="00922098" w:rsidP="00922098">
      <w:pPr>
        <w:pStyle w:val="ListParagraph"/>
        <w:numPr>
          <w:ilvl w:val="0"/>
          <w:numId w:val="3"/>
        </w:numPr>
        <w:spacing w:after="120" w:line="276" w:lineRule="auto"/>
      </w:pPr>
      <w:r>
        <w:t>Lower instance of being able to raise $2,000 in a week in an emergency (71%, 82% non-LGBTQIA+).</w:t>
      </w:r>
    </w:p>
    <w:p w14:paraId="3087D064" w14:textId="77777777" w:rsidR="00922098" w:rsidRPr="000475D6" w:rsidRDefault="00922098" w:rsidP="00922098">
      <w:pPr>
        <w:pStyle w:val="ListParagraph"/>
        <w:numPr>
          <w:ilvl w:val="0"/>
          <w:numId w:val="3"/>
        </w:numPr>
        <w:spacing w:after="120" w:line="276" w:lineRule="auto"/>
      </w:pPr>
      <w:r>
        <w:t>17% had run out of food and couldn’t afford to buy more (7% non-LGBTQIA+).</w:t>
      </w:r>
    </w:p>
    <w:p w14:paraId="6552530F" w14:textId="77777777" w:rsidR="00922098" w:rsidRDefault="00922098" w:rsidP="00922098">
      <w:pPr>
        <w:pStyle w:val="ListParagraph"/>
        <w:numPr>
          <w:ilvl w:val="0"/>
          <w:numId w:val="3"/>
        </w:numPr>
        <w:spacing w:after="120" w:line="276" w:lineRule="auto"/>
      </w:pPr>
      <w:r>
        <w:t>18% live in a home where the temperature is always uncomfortable (6% non-LGBTQIA+).</w:t>
      </w:r>
    </w:p>
    <w:p w14:paraId="22495246" w14:textId="77777777" w:rsidR="00922098" w:rsidRDefault="00922098" w:rsidP="00922098">
      <w:pPr>
        <w:pStyle w:val="ListParagraph"/>
        <w:numPr>
          <w:ilvl w:val="0"/>
          <w:numId w:val="3"/>
        </w:numPr>
        <w:spacing w:after="120" w:line="276" w:lineRule="auto"/>
      </w:pPr>
      <w:r>
        <w:t>14% feel unsafe in the area where they live (5% non-LGBTQIA+).</w:t>
      </w:r>
    </w:p>
    <w:p w14:paraId="71E60984" w14:textId="77777777" w:rsidR="00922098" w:rsidRPr="00530928" w:rsidRDefault="00922098" w:rsidP="00922098">
      <w:pPr>
        <w:pStyle w:val="ListParagraph"/>
        <w:numPr>
          <w:ilvl w:val="0"/>
          <w:numId w:val="3"/>
        </w:numPr>
        <w:spacing w:after="120" w:line="276" w:lineRule="auto"/>
      </w:pPr>
      <w:r>
        <w:t>22% rated the area where they live as more unsafe than other areas of Greater Geelong (8% non-LGBTQIA+).</w:t>
      </w:r>
    </w:p>
    <w:p w14:paraId="2107EEBD" w14:textId="77777777" w:rsidR="00922098" w:rsidRPr="00530928" w:rsidRDefault="00922098" w:rsidP="00922098">
      <w:pPr>
        <w:pStyle w:val="ListParagraph"/>
        <w:numPr>
          <w:ilvl w:val="0"/>
          <w:numId w:val="3"/>
        </w:numPr>
        <w:spacing w:after="120" w:line="276" w:lineRule="auto"/>
      </w:pPr>
      <w:r>
        <w:t>62% said they ‘definitely’ think multiculturalism makes life in their suburb better (43% non-LGBTQIA+).</w:t>
      </w:r>
    </w:p>
    <w:p w14:paraId="485E7DC9" w14:textId="77777777" w:rsidR="00922098" w:rsidRPr="006F1FAE" w:rsidRDefault="00922098" w:rsidP="00922098">
      <w:pPr>
        <w:pStyle w:val="ListParagraph"/>
        <w:numPr>
          <w:ilvl w:val="0"/>
          <w:numId w:val="3"/>
        </w:numPr>
        <w:spacing w:after="120" w:line="276" w:lineRule="auto"/>
      </w:pPr>
      <w:r>
        <w:t>32%</w:t>
      </w:r>
      <w:r w:rsidRPr="00530928">
        <w:t xml:space="preserve"> </w:t>
      </w:r>
      <w:r>
        <w:t>had experienced discrimination (15% non-LGBTQIA+). Of these 29% said it was due to their sexual orientation.</w:t>
      </w:r>
    </w:p>
    <w:p w14:paraId="6C0C598A" w14:textId="77777777" w:rsidR="00922098" w:rsidRPr="006F1FAE" w:rsidRDefault="00922098" w:rsidP="00922098">
      <w:pPr>
        <w:pStyle w:val="ListParagraph"/>
        <w:numPr>
          <w:ilvl w:val="0"/>
          <w:numId w:val="3"/>
        </w:numPr>
        <w:spacing w:after="120" w:line="276" w:lineRule="auto"/>
      </w:pPr>
      <w:r>
        <w:t>53%</w:t>
      </w:r>
      <w:r w:rsidRPr="006F1FAE">
        <w:t xml:space="preserve"> </w:t>
      </w:r>
      <w:r>
        <w:t>very concerned about the impacts of climate change on human health and wellbeing (27% non-LGBTQIA+).</w:t>
      </w:r>
    </w:p>
    <w:p w14:paraId="30D3F4F3" w14:textId="77777777" w:rsidR="00922098" w:rsidRDefault="00922098" w:rsidP="00922098">
      <w:pPr>
        <w:pStyle w:val="ListParagraph"/>
        <w:numPr>
          <w:ilvl w:val="0"/>
          <w:numId w:val="3"/>
        </w:numPr>
        <w:spacing w:after="120" w:line="276" w:lineRule="auto"/>
      </w:pPr>
      <w:r>
        <w:t>45% think climate change will harm the health of Victorians a great deal (21% non-LGBTQIA+).</w:t>
      </w:r>
    </w:p>
    <w:p w14:paraId="4E68E4D2" w14:textId="77777777" w:rsidR="00922098" w:rsidRDefault="00922098" w:rsidP="00922098">
      <w:pPr>
        <w:pStyle w:val="Heading3"/>
      </w:pPr>
      <w:bookmarkStart w:id="24" w:name="_Toc195192707"/>
      <w:r>
        <w:t>People with a disability</w:t>
      </w:r>
      <w:bookmarkEnd w:id="24"/>
    </w:p>
    <w:p w14:paraId="291F1E43" w14:textId="77777777" w:rsidR="00922098" w:rsidRPr="00647124" w:rsidRDefault="00922098" w:rsidP="00922098">
      <w:pPr>
        <w:pStyle w:val="ListParagraph"/>
        <w:numPr>
          <w:ilvl w:val="0"/>
          <w:numId w:val="3"/>
        </w:numPr>
        <w:spacing w:after="120" w:line="276" w:lineRule="auto"/>
      </w:pPr>
      <w:r>
        <w:t>92% self-reported lower levels of health (good, fair or poor) (42% no disability).</w:t>
      </w:r>
    </w:p>
    <w:p w14:paraId="29D8BF3E" w14:textId="77777777" w:rsidR="00922098" w:rsidRPr="00E85841" w:rsidRDefault="00922098" w:rsidP="00922098">
      <w:pPr>
        <w:pStyle w:val="ListParagraph"/>
        <w:numPr>
          <w:ilvl w:val="0"/>
          <w:numId w:val="3"/>
        </w:numPr>
        <w:spacing w:after="120" w:line="276" w:lineRule="auto"/>
      </w:pPr>
      <w:r>
        <w:t>57% provided life satisfaction ratings of 0-6 out of 10 (19% no disability).</w:t>
      </w:r>
    </w:p>
    <w:p w14:paraId="7B2D6B43" w14:textId="77777777" w:rsidR="00922098" w:rsidRPr="001E0D49" w:rsidRDefault="00922098" w:rsidP="00922098">
      <w:pPr>
        <w:pStyle w:val="ListParagraph"/>
        <w:numPr>
          <w:ilvl w:val="0"/>
          <w:numId w:val="3"/>
        </w:numPr>
        <w:spacing w:after="120" w:line="276" w:lineRule="auto"/>
      </w:pPr>
      <w:r>
        <w:t>44% classified as being in severe or moderate psychological distress (10% no disability).</w:t>
      </w:r>
    </w:p>
    <w:p w14:paraId="1878DCF5" w14:textId="77777777" w:rsidR="00922098" w:rsidRPr="001E0D49" w:rsidRDefault="00922098" w:rsidP="00922098">
      <w:pPr>
        <w:pStyle w:val="ListParagraph"/>
        <w:numPr>
          <w:ilvl w:val="0"/>
          <w:numId w:val="3"/>
        </w:numPr>
        <w:spacing w:after="120" w:line="276" w:lineRule="auto"/>
      </w:pPr>
      <w:r>
        <w:t>37% sought professional help for a mental health related problem (34% no disability).</w:t>
      </w:r>
    </w:p>
    <w:p w14:paraId="6FC160F8" w14:textId="77777777" w:rsidR="00922098" w:rsidRPr="003C2A39" w:rsidRDefault="00922098" w:rsidP="00922098">
      <w:pPr>
        <w:pStyle w:val="ListParagraph"/>
        <w:numPr>
          <w:ilvl w:val="0"/>
          <w:numId w:val="3"/>
        </w:numPr>
        <w:spacing w:after="120" w:line="276" w:lineRule="auto"/>
      </w:pPr>
      <w:r>
        <w:lastRenderedPageBreak/>
        <w:t>61% classified as lonely (23% no disability).</w:t>
      </w:r>
    </w:p>
    <w:p w14:paraId="68B1EC3F" w14:textId="77777777" w:rsidR="00922098" w:rsidRPr="003C2A39" w:rsidRDefault="00922098" w:rsidP="00922098">
      <w:pPr>
        <w:pStyle w:val="ListParagraph"/>
        <w:numPr>
          <w:ilvl w:val="0"/>
          <w:numId w:val="3"/>
        </w:numPr>
        <w:spacing w:after="120" w:line="276" w:lineRule="auto"/>
      </w:pPr>
      <w:r>
        <w:t>43% meet water consumption guidelines (8+ glasses a day) (31% no disability).</w:t>
      </w:r>
    </w:p>
    <w:p w14:paraId="0CC12B4B" w14:textId="77777777" w:rsidR="00922098" w:rsidRPr="00655F43" w:rsidRDefault="00922098" w:rsidP="00922098">
      <w:pPr>
        <w:pStyle w:val="ListParagraph"/>
        <w:numPr>
          <w:ilvl w:val="0"/>
          <w:numId w:val="3"/>
        </w:numPr>
        <w:spacing w:after="120" w:line="276" w:lineRule="auto"/>
      </w:pPr>
      <w:r>
        <w:t>40% consume sugar sweetened drinks more than once a week (28% no disability).</w:t>
      </w:r>
    </w:p>
    <w:p w14:paraId="69A6A021" w14:textId="77777777" w:rsidR="00922098" w:rsidRPr="004F16AC" w:rsidRDefault="00922098" w:rsidP="00922098">
      <w:pPr>
        <w:pStyle w:val="ListParagraph"/>
        <w:numPr>
          <w:ilvl w:val="0"/>
          <w:numId w:val="3"/>
        </w:numPr>
        <w:spacing w:after="120" w:line="276" w:lineRule="auto"/>
      </w:pPr>
      <w:r>
        <w:t>40% classified as obese (27% no disability).</w:t>
      </w:r>
    </w:p>
    <w:p w14:paraId="385A018F" w14:textId="77777777" w:rsidR="00922098" w:rsidRPr="000475D6" w:rsidRDefault="00922098" w:rsidP="00922098">
      <w:pPr>
        <w:pStyle w:val="ListParagraph"/>
        <w:numPr>
          <w:ilvl w:val="0"/>
          <w:numId w:val="3"/>
        </w:numPr>
        <w:spacing w:after="120" w:line="276" w:lineRule="auto"/>
      </w:pPr>
      <w:r>
        <w:t>Lower instance of having someone outside the household they can rely on in an emergency (72%, 86% no disability).</w:t>
      </w:r>
    </w:p>
    <w:p w14:paraId="6FFA902E" w14:textId="77777777" w:rsidR="00922098" w:rsidRPr="000475D6" w:rsidRDefault="00922098" w:rsidP="00922098">
      <w:pPr>
        <w:pStyle w:val="ListParagraph"/>
        <w:numPr>
          <w:ilvl w:val="0"/>
          <w:numId w:val="3"/>
        </w:numPr>
        <w:spacing w:after="120" w:line="276" w:lineRule="auto"/>
      </w:pPr>
      <w:r>
        <w:t>24% had run out of food and couldn’t afford to buy more (6% no disability).</w:t>
      </w:r>
    </w:p>
    <w:p w14:paraId="7A7A2E9E" w14:textId="77777777" w:rsidR="00922098" w:rsidRDefault="00922098" w:rsidP="00922098">
      <w:pPr>
        <w:pStyle w:val="ListParagraph"/>
        <w:numPr>
          <w:ilvl w:val="0"/>
          <w:numId w:val="3"/>
        </w:numPr>
        <w:spacing w:after="120" w:line="276" w:lineRule="auto"/>
      </w:pPr>
      <w:r>
        <w:t>16% live in a home where the temperature is always uncomfortable (6% no disability).</w:t>
      </w:r>
    </w:p>
    <w:p w14:paraId="3C5B519E" w14:textId="77777777" w:rsidR="00922098" w:rsidRPr="00530928" w:rsidRDefault="00922098" w:rsidP="00922098">
      <w:pPr>
        <w:pStyle w:val="ListParagraph"/>
        <w:numPr>
          <w:ilvl w:val="0"/>
          <w:numId w:val="3"/>
        </w:numPr>
        <w:spacing w:after="120" w:line="276" w:lineRule="auto"/>
      </w:pPr>
      <w:r>
        <w:t>Lower instance of feeling very safe in the area they live (24%, 35% no disability).</w:t>
      </w:r>
    </w:p>
    <w:p w14:paraId="1656FBBC" w14:textId="77777777" w:rsidR="00922098" w:rsidRDefault="00922098" w:rsidP="00922098">
      <w:pPr>
        <w:pStyle w:val="ListParagraph"/>
        <w:numPr>
          <w:ilvl w:val="0"/>
          <w:numId w:val="3"/>
        </w:numPr>
        <w:spacing w:after="120" w:line="276" w:lineRule="auto"/>
      </w:pPr>
      <w:r>
        <w:t>17% feel unsafe in the area where they live (5% no disability).</w:t>
      </w:r>
    </w:p>
    <w:p w14:paraId="22040CE7" w14:textId="77777777" w:rsidR="00922098" w:rsidRDefault="00922098" w:rsidP="00922098">
      <w:pPr>
        <w:pStyle w:val="ListParagraph"/>
        <w:numPr>
          <w:ilvl w:val="0"/>
          <w:numId w:val="3"/>
        </w:numPr>
        <w:spacing w:after="120" w:line="276" w:lineRule="auto"/>
      </w:pPr>
      <w:r>
        <w:t>19% rated the area where they live as more unsafe than other areas of Greater Geelong (7% no disability).</w:t>
      </w:r>
    </w:p>
    <w:p w14:paraId="106FB6D7" w14:textId="77777777" w:rsidR="00922098" w:rsidRPr="006F1FAE" w:rsidRDefault="00922098" w:rsidP="00922098">
      <w:pPr>
        <w:pStyle w:val="ListParagraph"/>
        <w:numPr>
          <w:ilvl w:val="0"/>
          <w:numId w:val="3"/>
        </w:numPr>
        <w:spacing w:after="120" w:line="276" w:lineRule="auto"/>
      </w:pPr>
      <w:r>
        <w:t>45%</w:t>
      </w:r>
      <w:r w:rsidRPr="00530928">
        <w:t xml:space="preserve"> </w:t>
      </w:r>
      <w:r>
        <w:t>had experienced discrimination (13% no disability). Of these 78% said it was due to their disability.</w:t>
      </w:r>
    </w:p>
    <w:p w14:paraId="28C5FD12" w14:textId="77777777" w:rsidR="00922098" w:rsidRDefault="00922098" w:rsidP="00922098">
      <w:pPr>
        <w:pStyle w:val="ListParagraph"/>
        <w:numPr>
          <w:ilvl w:val="0"/>
          <w:numId w:val="3"/>
        </w:numPr>
        <w:spacing w:after="120" w:line="276" w:lineRule="auto"/>
      </w:pPr>
      <w:r>
        <w:t>39% think climate change will harm the health of Victorians a great deal (21% no disability).</w:t>
      </w:r>
    </w:p>
    <w:p w14:paraId="4E8A6066" w14:textId="77777777" w:rsidR="00922098" w:rsidRDefault="00922098" w:rsidP="00922098">
      <w:pPr>
        <w:pStyle w:val="Heading3"/>
      </w:pPr>
      <w:bookmarkStart w:id="25" w:name="_Toc195192708"/>
      <w:r>
        <w:t>Renters</w:t>
      </w:r>
      <w:bookmarkEnd w:id="25"/>
    </w:p>
    <w:p w14:paraId="2DA1001F" w14:textId="77777777" w:rsidR="00922098" w:rsidRPr="001E0D49" w:rsidRDefault="00922098" w:rsidP="00922098">
      <w:pPr>
        <w:pStyle w:val="ListParagraph"/>
        <w:numPr>
          <w:ilvl w:val="0"/>
          <w:numId w:val="13"/>
        </w:numPr>
        <w:spacing w:after="120" w:line="276" w:lineRule="auto"/>
      </w:pPr>
      <w:r>
        <w:t>30% sought professional help for a mental health related problem (13% own outright).</w:t>
      </w:r>
    </w:p>
    <w:p w14:paraId="148E81A7" w14:textId="77777777" w:rsidR="00922098" w:rsidRPr="003C2A39" w:rsidRDefault="00922098" w:rsidP="00922098">
      <w:pPr>
        <w:pStyle w:val="ListParagraph"/>
        <w:numPr>
          <w:ilvl w:val="0"/>
          <w:numId w:val="13"/>
        </w:numPr>
        <w:spacing w:after="120" w:line="276" w:lineRule="auto"/>
      </w:pPr>
      <w:r>
        <w:t>39%</w:t>
      </w:r>
      <w:r w:rsidRPr="001E0D49">
        <w:t xml:space="preserve"> </w:t>
      </w:r>
      <w:r>
        <w:t>classified as lonely (22% own home).</w:t>
      </w:r>
    </w:p>
    <w:p w14:paraId="3A1095B9" w14:textId="77777777" w:rsidR="00922098" w:rsidRPr="00643ABD" w:rsidRDefault="00922098" w:rsidP="00922098">
      <w:pPr>
        <w:pStyle w:val="ListParagraph"/>
        <w:numPr>
          <w:ilvl w:val="0"/>
          <w:numId w:val="13"/>
        </w:numPr>
        <w:spacing w:after="120" w:line="276" w:lineRule="auto"/>
      </w:pPr>
      <w:r>
        <w:t>56% meet water consumption guidelines (8+ glasses a day) (28% own outright).</w:t>
      </w:r>
    </w:p>
    <w:p w14:paraId="294C9A92" w14:textId="77777777" w:rsidR="00922098" w:rsidRPr="00655F43" w:rsidRDefault="00922098" w:rsidP="00922098">
      <w:pPr>
        <w:pStyle w:val="ListParagraph"/>
        <w:numPr>
          <w:ilvl w:val="0"/>
          <w:numId w:val="13"/>
        </w:numPr>
        <w:spacing w:after="120" w:line="276" w:lineRule="auto"/>
      </w:pPr>
      <w:r>
        <w:t>23% cycle continuously for more than 10 minutes at least once a week (15% own with mortgage).</w:t>
      </w:r>
    </w:p>
    <w:p w14:paraId="7AD2AE00" w14:textId="77777777" w:rsidR="00922098" w:rsidRPr="004F16AC" w:rsidRDefault="00922098" w:rsidP="00922098">
      <w:pPr>
        <w:pStyle w:val="ListParagraph"/>
        <w:numPr>
          <w:ilvl w:val="0"/>
          <w:numId w:val="13"/>
        </w:numPr>
        <w:spacing w:after="120" w:line="276" w:lineRule="auto"/>
      </w:pPr>
      <w:r>
        <w:t>25% sedentary (18% own with mortgage).</w:t>
      </w:r>
    </w:p>
    <w:p w14:paraId="7F6A2377" w14:textId="77777777" w:rsidR="00922098" w:rsidRPr="000475D6" w:rsidRDefault="00922098" w:rsidP="00922098">
      <w:pPr>
        <w:pStyle w:val="ListParagraph"/>
        <w:numPr>
          <w:ilvl w:val="0"/>
          <w:numId w:val="13"/>
        </w:numPr>
        <w:spacing w:after="120" w:line="276" w:lineRule="auto"/>
      </w:pPr>
      <w:r>
        <w:t>15% smoke (7% own outright).</w:t>
      </w:r>
    </w:p>
    <w:p w14:paraId="25DF9AF9" w14:textId="77777777" w:rsidR="00922098" w:rsidRPr="00CF1D56" w:rsidRDefault="00922098" w:rsidP="00922098">
      <w:pPr>
        <w:pStyle w:val="ListParagraph"/>
        <w:numPr>
          <w:ilvl w:val="0"/>
          <w:numId w:val="13"/>
        </w:numPr>
        <w:spacing w:after="120" w:line="276" w:lineRule="auto"/>
      </w:pPr>
      <w:r>
        <w:t>17% had run out of food and couldn’t afford to buy more (2% own outright).</w:t>
      </w:r>
    </w:p>
    <w:p w14:paraId="0E48F6FC" w14:textId="77777777" w:rsidR="00922098" w:rsidRDefault="00922098" w:rsidP="00922098">
      <w:pPr>
        <w:pStyle w:val="ListParagraph"/>
        <w:numPr>
          <w:ilvl w:val="0"/>
          <w:numId w:val="13"/>
        </w:numPr>
        <w:spacing w:after="120" w:line="276" w:lineRule="auto"/>
      </w:pPr>
      <w:r>
        <w:t xml:space="preserve">13% live in a home where the temperature is always uncomfortable (3% own outright). </w:t>
      </w:r>
    </w:p>
    <w:p w14:paraId="2037E1B0" w14:textId="77777777" w:rsidR="00922098" w:rsidRPr="006F1FAE" w:rsidRDefault="00922098" w:rsidP="00922098">
      <w:pPr>
        <w:pStyle w:val="ListParagraph"/>
        <w:numPr>
          <w:ilvl w:val="0"/>
          <w:numId w:val="13"/>
        </w:numPr>
        <w:spacing w:after="120" w:line="276" w:lineRule="auto"/>
      </w:pPr>
      <w:r>
        <w:t>12% rated the area where they live as more unsafe than other areas of Greater Geelong (5% own with mortgage).</w:t>
      </w:r>
    </w:p>
    <w:p w14:paraId="1AD9E300" w14:textId="77777777" w:rsidR="00922098" w:rsidRDefault="00922098" w:rsidP="00922098">
      <w:pPr>
        <w:pStyle w:val="ListParagraph"/>
        <w:numPr>
          <w:ilvl w:val="0"/>
          <w:numId w:val="13"/>
        </w:numPr>
        <w:spacing w:after="120" w:line="276" w:lineRule="auto"/>
      </w:pPr>
      <w:r>
        <w:t>20%</w:t>
      </w:r>
      <w:r w:rsidRPr="00530928">
        <w:t xml:space="preserve"> </w:t>
      </w:r>
      <w:r>
        <w:t>had experienced discrimination (12% own outright).</w:t>
      </w:r>
    </w:p>
    <w:p w14:paraId="1C6368C6" w14:textId="77777777" w:rsidR="00922098" w:rsidRDefault="00922098" w:rsidP="00922098"/>
    <w:p w14:paraId="4CA17107" w14:textId="77777777" w:rsidR="00922098" w:rsidRDefault="00922098" w:rsidP="00922098"/>
    <w:p w14:paraId="2BB10ECC" w14:textId="42917B48" w:rsidR="00922098" w:rsidRDefault="00922098">
      <w:r>
        <w:br w:type="page"/>
      </w:r>
    </w:p>
    <w:p w14:paraId="62334475" w14:textId="1B586AFC" w:rsidR="00922098" w:rsidRDefault="00922098" w:rsidP="00922098">
      <w:pPr>
        <w:pStyle w:val="Heading1"/>
      </w:pPr>
      <w:bookmarkStart w:id="26" w:name="_Toc195192709"/>
      <w:r>
        <w:lastRenderedPageBreak/>
        <w:t>Key Findings by Planning Area</w:t>
      </w:r>
      <w:bookmarkEnd w:id="26"/>
    </w:p>
    <w:p w14:paraId="4ED6EB8F" w14:textId="5FE6312F" w:rsidR="00922098" w:rsidRDefault="00922098" w:rsidP="00922098">
      <w:r>
        <w:t>This section highlights key indicators for each planning area. All indicators are available in the table on pages</w:t>
      </w:r>
      <w:r w:rsidR="0071637E">
        <w:t xml:space="preserve"> 22 and 23</w:t>
      </w:r>
      <w:r>
        <w:t>.</w:t>
      </w:r>
    </w:p>
    <w:p w14:paraId="162D75A2" w14:textId="77777777" w:rsidR="00922098" w:rsidRDefault="00922098" w:rsidP="00922098">
      <w:pPr>
        <w:pStyle w:val="Heading3"/>
      </w:pPr>
      <w:bookmarkStart w:id="27" w:name="_Toc195192710"/>
      <w:r>
        <w:t>Planning Area 1</w:t>
      </w:r>
      <w:bookmarkEnd w:id="27"/>
    </w:p>
    <w:p w14:paraId="69067FD2" w14:textId="77777777" w:rsidR="00922098" w:rsidRDefault="00922098" w:rsidP="00922098">
      <w:pPr>
        <w:pStyle w:val="ListParagraph"/>
        <w:numPr>
          <w:ilvl w:val="0"/>
          <w:numId w:val="3"/>
        </w:numPr>
        <w:spacing w:after="120" w:line="276" w:lineRule="auto"/>
      </w:pPr>
      <w:r>
        <w:t>57% self-reported health as good, fair or poor.</w:t>
      </w:r>
    </w:p>
    <w:p w14:paraId="39628F6E" w14:textId="77777777" w:rsidR="00922098" w:rsidRPr="001E0D49" w:rsidRDefault="00922098" w:rsidP="00922098">
      <w:pPr>
        <w:pStyle w:val="ListParagraph"/>
        <w:numPr>
          <w:ilvl w:val="0"/>
          <w:numId w:val="3"/>
        </w:numPr>
        <w:spacing w:after="120" w:line="276" w:lineRule="auto"/>
      </w:pPr>
      <w:r>
        <w:t>17% classified as being in severe or moderate psychological distress.</w:t>
      </w:r>
    </w:p>
    <w:p w14:paraId="15253745" w14:textId="77777777" w:rsidR="00922098" w:rsidRPr="001E0D49" w:rsidRDefault="00922098" w:rsidP="00922098">
      <w:pPr>
        <w:pStyle w:val="ListParagraph"/>
        <w:numPr>
          <w:ilvl w:val="0"/>
          <w:numId w:val="3"/>
        </w:numPr>
        <w:spacing w:after="120" w:line="276" w:lineRule="auto"/>
      </w:pPr>
      <w:r>
        <w:t>42% sought professional help for a mental health related problem.</w:t>
      </w:r>
    </w:p>
    <w:p w14:paraId="4FC61068" w14:textId="77777777" w:rsidR="00922098" w:rsidRPr="003C2A39" w:rsidRDefault="00922098" w:rsidP="00922098">
      <w:pPr>
        <w:pStyle w:val="ListParagraph"/>
        <w:numPr>
          <w:ilvl w:val="0"/>
          <w:numId w:val="3"/>
        </w:numPr>
        <w:spacing w:after="120" w:line="276" w:lineRule="auto"/>
      </w:pPr>
      <w:r>
        <w:t>42%</w:t>
      </w:r>
      <w:r w:rsidRPr="001E0D49">
        <w:t xml:space="preserve"> </w:t>
      </w:r>
      <w:r>
        <w:t>classified as lonely.</w:t>
      </w:r>
    </w:p>
    <w:p w14:paraId="7C70446A" w14:textId="77777777" w:rsidR="00922098" w:rsidRPr="003C2A39" w:rsidRDefault="00922098" w:rsidP="00922098">
      <w:pPr>
        <w:pStyle w:val="ListParagraph"/>
        <w:numPr>
          <w:ilvl w:val="0"/>
          <w:numId w:val="3"/>
        </w:numPr>
        <w:spacing w:after="120" w:line="276" w:lineRule="auto"/>
      </w:pPr>
      <w:r>
        <w:t>30% eat fast food more than once a week.</w:t>
      </w:r>
    </w:p>
    <w:p w14:paraId="79FD8027" w14:textId="77777777" w:rsidR="00922098" w:rsidRPr="00655F43" w:rsidRDefault="00922098" w:rsidP="00922098">
      <w:pPr>
        <w:pStyle w:val="ListParagraph"/>
        <w:numPr>
          <w:ilvl w:val="0"/>
          <w:numId w:val="3"/>
        </w:numPr>
        <w:spacing w:after="120" w:line="276" w:lineRule="auto"/>
      </w:pPr>
      <w:r>
        <w:t>36% consume sugar sweetened drinks more than once a week.</w:t>
      </w:r>
    </w:p>
    <w:p w14:paraId="0D2A5CDF" w14:textId="77777777" w:rsidR="00922098" w:rsidRPr="004F16AC" w:rsidRDefault="00922098" w:rsidP="00922098">
      <w:pPr>
        <w:pStyle w:val="ListParagraph"/>
        <w:numPr>
          <w:ilvl w:val="0"/>
          <w:numId w:val="3"/>
        </w:numPr>
        <w:spacing w:after="120" w:line="276" w:lineRule="auto"/>
      </w:pPr>
      <w:r>
        <w:t>28% cycle continuously for more than 10 minutes at least once a week.</w:t>
      </w:r>
    </w:p>
    <w:p w14:paraId="2D397E80" w14:textId="77777777" w:rsidR="00922098" w:rsidRPr="00530928" w:rsidRDefault="00922098" w:rsidP="00922098">
      <w:pPr>
        <w:pStyle w:val="ListParagraph"/>
        <w:numPr>
          <w:ilvl w:val="0"/>
          <w:numId w:val="3"/>
        </w:numPr>
        <w:spacing w:after="120" w:line="276" w:lineRule="auto"/>
      </w:pPr>
      <w:r>
        <w:t>14% risk of short term harm from alcohol.</w:t>
      </w:r>
    </w:p>
    <w:p w14:paraId="11B6C3C7" w14:textId="77777777" w:rsidR="00922098" w:rsidRPr="00E85841" w:rsidRDefault="00922098" w:rsidP="00922098">
      <w:pPr>
        <w:pStyle w:val="ListParagraph"/>
        <w:numPr>
          <w:ilvl w:val="0"/>
          <w:numId w:val="3"/>
        </w:numPr>
        <w:spacing w:after="120" w:line="276" w:lineRule="auto"/>
      </w:pPr>
      <w:r>
        <w:t>59% said they ‘definitely’ think multiculturalism makes life in their suburb better.</w:t>
      </w:r>
    </w:p>
    <w:p w14:paraId="2B816384" w14:textId="77777777" w:rsidR="00922098" w:rsidRDefault="00922098" w:rsidP="00922098">
      <w:pPr>
        <w:pStyle w:val="Heading3"/>
      </w:pPr>
      <w:bookmarkStart w:id="28" w:name="_Toc195192711"/>
      <w:r>
        <w:t>Planning Area 2</w:t>
      </w:r>
      <w:bookmarkEnd w:id="28"/>
    </w:p>
    <w:p w14:paraId="1DD3779A" w14:textId="77777777" w:rsidR="00922098" w:rsidRDefault="00922098" w:rsidP="00922098">
      <w:pPr>
        <w:pStyle w:val="ListParagraph"/>
        <w:numPr>
          <w:ilvl w:val="0"/>
          <w:numId w:val="3"/>
        </w:numPr>
        <w:spacing w:after="120" w:line="276" w:lineRule="auto"/>
      </w:pPr>
      <w:r>
        <w:t>66% self-reported excellent or very good health</w:t>
      </w:r>
    </w:p>
    <w:p w14:paraId="54A00EB5" w14:textId="77777777" w:rsidR="00922098" w:rsidRPr="001E0D49" w:rsidRDefault="00922098" w:rsidP="00922098">
      <w:pPr>
        <w:pStyle w:val="ListParagraph"/>
        <w:numPr>
          <w:ilvl w:val="0"/>
          <w:numId w:val="3"/>
        </w:numPr>
        <w:spacing w:after="120" w:line="276" w:lineRule="auto"/>
      </w:pPr>
      <w:r>
        <w:t>88% provided good life satisfaction rating of 7-10 out of 10</w:t>
      </w:r>
    </w:p>
    <w:p w14:paraId="1B6125B3" w14:textId="77777777" w:rsidR="00922098" w:rsidRPr="00643ABD" w:rsidRDefault="00922098" w:rsidP="00922098">
      <w:pPr>
        <w:pStyle w:val="ListParagraph"/>
        <w:numPr>
          <w:ilvl w:val="0"/>
          <w:numId w:val="3"/>
        </w:numPr>
        <w:spacing w:after="120" w:line="276" w:lineRule="auto"/>
      </w:pPr>
      <w:r>
        <w:t>42% member of a sports group.</w:t>
      </w:r>
    </w:p>
    <w:p w14:paraId="78F005BC" w14:textId="77777777" w:rsidR="00922098" w:rsidRPr="00655F43" w:rsidRDefault="00922098" w:rsidP="00922098">
      <w:pPr>
        <w:pStyle w:val="ListParagraph"/>
        <w:numPr>
          <w:ilvl w:val="0"/>
          <w:numId w:val="3"/>
        </w:numPr>
        <w:spacing w:after="120" w:line="276" w:lineRule="auto"/>
      </w:pPr>
      <w:r>
        <w:t>45% walk continuously for more than 10 minutes 7+ times a week.</w:t>
      </w:r>
    </w:p>
    <w:p w14:paraId="2B1908F7" w14:textId="77777777" w:rsidR="00922098" w:rsidRPr="004F16AC" w:rsidRDefault="00922098" w:rsidP="00922098">
      <w:pPr>
        <w:pStyle w:val="ListParagraph"/>
        <w:numPr>
          <w:ilvl w:val="0"/>
          <w:numId w:val="3"/>
        </w:numPr>
        <w:spacing w:after="120" w:line="276" w:lineRule="auto"/>
      </w:pPr>
      <w:r>
        <w:t>25% lifetime risk of alcohol harm.</w:t>
      </w:r>
    </w:p>
    <w:p w14:paraId="7A79B562" w14:textId="77777777" w:rsidR="00922098" w:rsidRPr="000475D6" w:rsidRDefault="00922098" w:rsidP="00922098">
      <w:pPr>
        <w:pStyle w:val="ListParagraph"/>
        <w:numPr>
          <w:ilvl w:val="0"/>
          <w:numId w:val="3"/>
        </w:numPr>
        <w:spacing w:after="120" w:line="276" w:lineRule="auto"/>
      </w:pPr>
      <w:r>
        <w:t>92% have someone outside the household they can rely on in an emergency.</w:t>
      </w:r>
    </w:p>
    <w:p w14:paraId="2A305FA6" w14:textId="77777777" w:rsidR="00922098" w:rsidRPr="00530928" w:rsidRDefault="00922098" w:rsidP="00922098">
      <w:pPr>
        <w:pStyle w:val="ListParagraph"/>
        <w:numPr>
          <w:ilvl w:val="0"/>
          <w:numId w:val="3"/>
        </w:numPr>
        <w:spacing w:after="120" w:line="276" w:lineRule="auto"/>
      </w:pPr>
      <w:r>
        <w:t>91% could raise $2,000 in a week in an emergency.</w:t>
      </w:r>
    </w:p>
    <w:p w14:paraId="1CD21E47" w14:textId="77777777" w:rsidR="00922098" w:rsidRDefault="00922098" w:rsidP="00922098">
      <w:pPr>
        <w:pStyle w:val="ListParagraph"/>
        <w:numPr>
          <w:ilvl w:val="0"/>
          <w:numId w:val="3"/>
        </w:numPr>
        <w:spacing w:after="120" w:line="276" w:lineRule="auto"/>
      </w:pPr>
      <w:r>
        <w:t>53% feel very safe in the area where they live.</w:t>
      </w:r>
    </w:p>
    <w:p w14:paraId="43E03B65" w14:textId="77777777" w:rsidR="00922098" w:rsidRDefault="00922098" w:rsidP="00922098">
      <w:pPr>
        <w:pStyle w:val="Heading3"/>
      </w:pPr>
      <w:bookmarkStart w:id="29" w:name="_Toc195192712"/>
      <w:r>
        <w:t>Planning Area 3</w:t>
      </w:r>
      <w:bookmarkEnd w:id="29"/>
    </w:p>
    <w:p w14:paraId="0C5374FA" w14:textId="77777777" w:rsidR="00922098" w:rsidRDefault="00922098" w:rsidP="00922098">
      <w:pPr>
        <w:pStyle w:val="ListParagraph"/>
        <w:numPr>
          <w:ilvl w:val="0"/>
          <w:numId w:val="3"/>
        </w:numPr>
        <w:spacing w:after="120" w:line="276" w:lineRule="auto"/>
      </w:pPr>
      <w:r>
        <w:t>42% member of a sports group.</w:t>
      </w:r>
    </w:p>
    <w:p w14:paraId="78BB41C8" w14:textId="77777777" w:rsidR="00922098" w:rsidRPr="00E85841" w:rsidRDefault="00922098" w:rsidP="00922098">
      <w:pPr>
        <w:pStyle w:val="ListParagraph"/>
        <w:numPr>
          <w:ilvl w:val="0"/>
          <w:numId w:val="3"/>
        </w:numPr>
        <w:spacing w:after="120" w:line="276" w:lineRule="auto"/>
      </w:pPr>
      <w:r>
        <w:t>41% consume sugar sweetened drinks more than once a week.</w:t>
      </w:r>
    </w:p>
    <w:p w14:paraId="42D780E1" w14:textId="77777777" w:rsidR="00922098" w:rsidRPr="00655F43" w:rsidRDefault="00922098" w:rsidP="00922098">
      <w:pPr>
        <w:pStyle w:val="ListParagraph"/>
        <w:numPr>
          <w:ilvl w:val="0"/>
          <w:numId w:val="3"/>
        </w:numPr>
        <w:spacing w:after="120" w:line="360" w:lineRule="auto"/>
      </w:pPr>
      <w:r>
        <w:t>Low 20% walk continuously for more than 10 minutes 7+ times a week.</w:t>
      </w:r>
    </w:p>
    <w:p w14:paraId="60780EE1" w14:textId="77777777" w:rsidR="00922098" w:rsidRPr="004F16AC" w:rsidRDefault="00922098" w:rsidP="00922098">
      <w:pPr>
        <w:pStyle w:val="ListParagraph"/>
        <w:numPr>
          <w:ilvl w:val="0"/>
          <w:numId w:val="3"/>
        </w:numPr>
        <w:spacing w:after="120" w:line="360" w:lineRule="auto"/>
      </w:pPr>
      <w:r>
        <w:t>26% sedentary.</w:t>
      </w:r>
    </w:p>
    <w:p w14:paraId="78DFB117" w14:textId="77777777" w:rsidR="00922098" w:rsidRPr="004F16AC" w:rsidRDefault="00922098" w:rsidP="00922098">
      <w:pPr>
        <w:pStyle w:val="ListParagraph"/>
        <w:numPr>
          <w:ilvl w:val="0"/>
          <w:numId w:val="3"/>
        </w:numPr>
        <w:spacing w:after="120" w:line="360" w:lineRule="auto"/>
      </w:pPr>
      <w:r>
        <w:t>29% lifetime risk of alcohol harm.</w:t>
      </w:r>
    </w:p>
    <w:p w14:paraId="3899BA04" w14:textId="77777777" w:rsidR="00922098" w:rsidRPr="00530928" w:rsidRDefault="00922098" w:rsidP="00922098">
      <w:pPr>
        <w:pStyle w:val="ListParagraph"/>
        <w:numPr>
          <w:ilvl w:val="0"/>
          <w:numId w:val="3"/>
        </w:numPr>
        <w:spacing w:after="120" w:line="360" w:lineRule="auto"/>
      </w:pPr>
      <w:r>
        <w:t>24% risk of short term harm from alcohol.</w:t>
      </w:r>
    </w:p>
    <w:p w14:paraId="7C81EC43" w14:textId="77777777" w:rsidR="00922098" w:rsidRDefault="00922098" w:rsidP="00922098">
      <w:pPr>
        <w:pStyle w:val="ListParagraph"/>
        <w:numPr>
          <w:ilvl w:val="0"/>
          <w:numId w:val="3"/>
        </w:numPr>
        <w:spacing w:after="120" w:line="360" w:lineRule="auto"/>
      </w:pPr>
      <w:r>
        <w:t>47% feel very safe in the area where they live.</w:t>
      </w:r>
    </w:p>
    <w:p w14:paraId="1F51CB1D" w14:textId="77777777" w:rsidR="00922098" w:rsidRDefault="00922098" w:rsidP="00922098">
      <w:pPr>
        <w:pStyle w:val="Heading3"/>
      </w:pPr>
      <w:bookmarkStart w:id="30" w:name="_Toc195192713"/>
      <w:r>
        <w:t>Planning Area 4</w:t>
      </w:r>
      <w:bookmarkEnd w:id="30"/>
    </w:p>
    <w:p w14:paraId="1FE9EC48" w14:textId="77777777" w:rsidR="00922098" w:rsidRPr="00530928" w:rsidRDefault="00922098" w:rsidP="00922098">
      <w:pPr>
        <w:pStyle w:val="ListParagraph"/>
        <w:numPr>
          <w:ilvl w:val="0"/>
          <w:numId w:val="3"/>
        </w:numPr>
        <w:spacing w:after="120" w:line="276" w:lineRule="auto"/>
      </w:pPr>
      <w:r>
        <w:t>90% could raise $2,000 in a week in an emergency.</w:t>
      </w:r>
    </w:p>
    <w:p w14:paraId="6C1A4A57" w14:textId="77777777" w:rsidR="00922098" w:rsidRDefault="00922098" w:rsidP="00922098">
      <w:pPr>
        <w:pStyle w:val="ListParagraph"/>
        <w:numPr>
          <w:ilvl w:val="0"/>
          <w:numId w:val="3"/>
        </w:numPr>
        <w:spacing w:after="120" w:line="276" w:lineRule="auto"/>
      </w:pPr>
      <w:r>
        <w:t>45% feel very safe in the area where they live.</w:t>
      </w:r>
    </w:p>
    <w:p w14:paraId="47A2D0AF" w14:textId="77777777" w:rsidR="00922098" w:rsidRDefault="00922098" w:rsidP="00922098">
      <w:pPr>
        <w:pStyle w:val="Heading3"/>
      </w:pPr>
      <w:bookmarkStart w:id="31" w:name="_Toc195192714"/>
      <w:r>
        <w:t>Planning Area 5</w:t>
      </w:r>
      <w:bookmarkEnd w:id="31"/>
    </w:p>
    <w:p w14:paraId="4C2CA4C3" w14:textId="77777777" w:rsidR="00922098" w:rsidRDefault="00922098" w:rsidP="00922098">
      <w:pPr>
        <w:pStyle w:val="ListParagraph"/>
        <w:numPr>
          <w:ilvl w:val="0"/>
          <w:numId w:val="3"/>
        </w:numPr>
        <w:spacing w:after="120" w:line="276" w:lineRule="auto"/>
      </w:pPr>
      <w:r>
        <w:t>24% sedentary.</w:t>
      </w:r>
    </w:p>
    <w:p w14:paraId="67B9A8DA" w14:textId="77777777" w:rsidR="00922098" w:rsidRPr="00CF2915" w:rsidRDefault="00922098" w:rsidP="00922098">
      <w:pPr>
        <w:pStyle w:val="ListParagraph"/>
        <w:numPr>
          <w:ilvl w:val="0"/>
          <w:numId w:val="3"/>
        </w:numPr>
        <w:spacing w:after="120" w:line="276" w:lineRule="auto"/>
      </w:pPr>
      <w:r>
        <w:t>16% risk of short term harm from alcohol.</w:t>
      </w:r>
    </w:p>
    <w:p w14:paraId="588F8F22" w14:textId="77777777" w:rsidR="00922098" w:rsidRDefault="00922098" w:rsidP="00922098"/>
    <w:p w14:paraId="1672E053" w14:textId="77777777" w:rsidR="00922098" w:rsidRDefault="00922098" w:rsidP="00922098">
      <w:pPr>
        <w:pStyle w:val="Heading3"/>
      </w:pPr>
      <w:bookmarkStart w:id="32" w:name="_Toc195192715"/>
      <w:r>
        <w:t>Planning Area 6</w:t>
      </w:r>
      <w:bookmarkEnd w:id="32"/>
    </w:p>
    <w:p w14:paraId="501482E1" w14:textId="77777777" w:rsidR="00922098" w:rsidRDefault="00922098" w:rsidP="00922098">
      <w:pPr>
        <w:pStyle w:val="ListParagraph"/>
        <w:numPr>
          <w:ilvl w:val="0"/>
          <w:numId w:val="3"/>
        </w:numPr>
        <w:spacing w:after="120" w:line="276" w:lineRule="auto"/>
      </w:pPr>
      <w:r>
        <w:t>64% self-reported health as good, fair or poor.</w:t>
      </w:r>
    </w:p>
    <w:p w14:paraId="3DEDCA74" w14:textId="77777777" w:rsidR="00922098" w:rsidRDefault="00922098" w:rsidP="00922098">
      <w:pPr>
        <w:pStyle w:val="ListParagraph"/>
        <w:numPr>
          <w:ilvl w:val="0"/>
          <w:numId w:val="3"/>
        </w:numPr>
        <w:spacing w:after="120" w:line="276" w:lineRule="auto"/>
      </w:pPr>
      <w:r>
        <w:t>Overall low life satisfaction score (69.5/100) due to low ratings for physical health and feeling part of the community.</w:t>
      </w:r>
    </w:p>
    <w:p w14:paraId="667CA060" w14:textId="77777777" w:rsidR="00922098" w:rsidRDefault="00922098" w:rsidP="00922098">
      <w:pPr>
        <w:pStyle w:val="ListParagraph"/>
        <w:numPr>
          <w:ilvl w:val="0"/>
          <w:numId w:val="3"/>
        </w:numPr>
        <w:spacing w:after="120" w:line="276" w:lineRule="auto"/>
      </w:pPr>
      <w:r>
        <w:t>60% not a member of any group.</w:t>
      </w:r>
    </w:p>
    <w:p w14:paraId="562173B7" w14:textId="77777777" w:rsidR="00922098" w:rsidRPr="00530928" w:rsidRDefault="00922098" w:rsidP="00922098">
      <w:pPr>
        <w:pStyle w:val="ListParagraph"/>
        <w:numPr>
          <w:ilvl w:val="0"/>
          <w:numId w:val="3"/>
        </w:numPr>
        <w:spacing w:after="120" w:line="276" w:lineRule="auto"/>
      </w:pPr>
      <w:r>
        <w:t>12% had run out of food and couldn’t afford to buy more.</w:t>
      </w:r>
    </w:p>
    <w:p w14:paraId="5C612273" w14:textId="77777777" w:rsidR="00922098" w:rsidRDefault="00922098" w:rsidP="00922098">
      <w:pPr>
        <w:pStyle w:val="ListParagraph"/>
        <w:numPr>
          <w:ilvl w:val="0"/>
          <w:numId w:val="3"/>
        </w:numPr>
        <w:spacing w:after="120" w:line="276" w:lineRule="auto"/>
      </w:pPr>
      <w:r>
        <w:t>16% feel unsafe in the area where they live.</w:t>
      </w:r>
    </w:p>
    <w:p w14:paraId="15736FFE" w14:textId="77777777" w:rsidR="00922098" w:rsidRDefault="00922098" w:rsidP="00922098">
      <w:pPr>
        <w:pStyle w:val="ListParagraph"/>
        <w:numPr>
          <w:ilvl w:val="0"/>
          <w:numId w:val="3"/>
        </w:numPr>
        <w:spacing w:after="120" w:line="276" w:lineRule="auto"/>
      </w:pPr>
      <w:r>
        <w:t>23% rated the area where they live as more unsafe than other areas of Greater Geelong.</w:t>
      </w:r>
    </w:p>
    <w:p w14:paraId="089C316D" w14:textId="77777777" w:rsidR="00922098" w:rsidRDefault="00922098" w:rsidP="00922098">
      <w:pPr>
        <w:pStyle w:val="Heading3"/>
      </w:pPr>
      <w:bookmarkStart w:id="33" w:name="_Toc195192716"/>
      <w:r>
        <w:t>Planning Area 7</w:t>
      </w:r>
      <w:bookmarkEnd w:id="33"/>
    </w:p>
    <w:p w14:paraId="6B20E761" w14:textId="77777777" w:rsidR="00922098" w:rsidRPr="00530928" w:rsidRDefault="00922098" w:rsidP="00922098">
      <w:pPr>
        <w:pStyle w:val="ListParagraph"/>
        <w:numPr>
          <w:ilvl w:val="0"/>
          <w:numId w:val="3"/>
        </w:numPr>
        <w:spacing w:after="120" w:line="276" w:lineRule="auto"/>
      </w:pPr>
      <w:r>
        <w:t>17% risk of short term harm from alcohol.</w:t>
      </w:r>
    </w:p>
    <w:p w14:paraId="68596AB3" w14:textId="77777777" w:rsidR="00922098" w:rsidRDefault="00922098" w:rsidP="00922098">
      <w:pPr>
        <w:pStyle w:val="ListParagraph"/>
        <w:numPr>
          <w:ilvl w:val="0"/>
          <w:numId w:val="3"/>
        </w:numPr>
        <w:spacing w:after="120" w:line="276" w:lineRule="auto"/>
      </w:pPr>
      <w:r>
        <w:t>Low 32% said they ‘definitely’ think multiculturalism makes life in their suburb better.</w:t>
      </w:r>
    </w:p>
    <w:p w14:paraId="495F359C" w14:textId="77777777" w:rsidR="00922098" w:rsidRDefault="00922098" w:rsidP="00922098">
      <w:pPr>
        <w:pStyle w:val="Heading3"/>
      </w:pPr>
      <w:bookmarkStart w:id="34" w:name="_Toc195192717"/>
      <w:r>
        <w:t>Planning Area 8</w:t>
      </w:r>
      <w:bookmarkEnd w:id="34"/>
    </w:p>
    <w:p w14:paraId="649880AE" w14:textId="77777777" w:rsidR="00922098" w:rsidRDefault="00922098" w:rsidP="00922098">
      <w:pPr>
        <w:pStyle w:val="ListParagraph"/>
        <w:numPr>
          <w:ilvl w:val="0"/>
          <w:numId w:val="3"/>
        </w:numPr>
        <w:spacing w:after="120" w:line="276" w:lineRule="auto"/>
      </w:pPr>
      <w:r>
        <w:t>A low 1% % rated the area where they live as more unsafe than other areas of Greater Geelong.</w:t>
      </w:r>
    </w:p>
    <w:p w14:paraId="498D7957" w14:textId="77777777" w:rsidR="00922098" w:rsidRDefault="00922098" w:rsidP="00922098">
      <w:pPr>
        <w:pStyle w:val="Heading3"/>
      </w:pPr>
      <w:bookmarkStart w:id="35" w:name="_Toc195192718"/>
      <w:r>
        <w:t>Planning Area 9</w:t>
      </w:r>
      <w:bookmarkEnd w:id="35"/>
    </w:p>
    <w:p w14:paraId="5374C82F" w14:textId="77777777" w:rsidR="00922098" w:rsidRDefault="00922098" w:rsidP="00922098">
      <w:pPr>
        <w:pStyle w:val="ListParagraph"/>
        <w:numPr>
          <w:ilvl w:val="0"/>
          <w:numId w:val="3"/>
        </w:numPr>
        <w:spacing w:after="120" w:line="276" w:lineRule="auto"/>
      </w:pPr>
      <w:r>
        <w:t>24% member of a professional or academic society.</w:t>
      </w:r>
    </w:p>
    <w:p w14:paraId="42309B26" w14:textId="77777777" w:rsidR="00922098" w:rsidRDefault="00922098" w:rsidP="00922098">
      <w:pPr>
        <w:pStyle w:val="Heading3"/>
      </w:pPr>
      <w:bookmarkStart w:id="36" w:name="_Toc195192719"/>
      <w:r>
        <w:t>Planning Area 10</w:t>
      </w:r>
      <w:bookmarkEnd w:id="36"/>
    </w:p>
    <w:p w14:paraId="5DBCE61B" w14:textId="77777777" w:rsidR="00922098" w:rsidRPr="004F16AC" w:rsidRDefault="00922098" w:rsidP="00922098">
      <w:pPr>
        <w:pStyle w:val="ListParagraph"/>
        <w:numPr>
          <w:ilvl w:val="0"/>
          <w:numId w:val="3"/>
        </w:numPr>
        <w:spacing w:after="120" w:line="276" w:lineRule="auto"/>
      </w:pPr>
      <w:r>
        <w:t>26% lifetime risk of alcohol harm.</w:t>
      </w:r>
    </w:p>
    <w:p w14:paraId="32D489D4" w14:textId="77777777" w:rsidR="00922098" w:rsidRPr="000475D6" w:rsidRDefault="00922098" w:rsidP="00922098">
      <w:pPr>
        <w:pStyle w:val="ListParagraph"/>
        <w:numPr>
          <w:ilvl w:val="0"/>
          <w:numId w:val="3"/>
        </w:numPr>
        <w:spacing w:after="120" w:line="276" w:lineRule="auto"/>
      </w:pPr>
      <w:r>
        <w:t>19% risk of short term harm from alcohol.</w:t>
      </w:r>
    </w:p>
    <w:p w14:paraId="1EB852B3" w14:textId="77777777" w:rsidR="00922098" w:rsidRPr="00530928" w:rsidRDefault="00922098" w:rsidP="00922098">
      <w:pPr>
        <w:pStyle w:val="ListParagraph"/>
        <w:numPr>
          <w:ilvl w:val="0"/>
          <w:numId w:val="3"/>
        </w:numPr>
        <w:spacing w:after="120" w:line="276" w:lineRule="auto"/>
      </w:pPr>
      <w:r>
        <w:t>89% could raise $2,000 in a week in an emergency.</w:t>
      </w:r>
    </w:p>
    <w:p w14:paraId="204957D9" w14:textId="77777777" w:rsidR="00922098" w:rsidRDefault="00922098" w:rsidP="00922098">
      <w:pPr>
        <w:pStyle w:val="ListParagraph"/>
        <w:numPr>
          <w:ilvl w:val="0"/>
          <w:numId w:val="3"/>
        </w:numPr>
        <w:spacing w:after="120" w:line="276" w:lineRule="auto"/>
      </w:pPr>
      <w:r>
        <w:t>51% said they ‘definitely’ think multiculturalism makes life in their suburb better.</w:t>
      </w:r>
    </w:p>
    <w:p w14:paraId="38BBE9DD" w14:textId="77777777" w:rsidR="00922098" w:rsidRDefault="00922098" w:rsidP="00922098">
      <w:pPr>
        <w:pStyle w:val="Heading3"/>
      </w:pPr>
      <w:bookmarkStart w:id="37" w:name="_Toc195192720"/>
      <w:r>
        <w:t>Planning Area 11</w:t>
      </w:r>
      <w:bookmarkEnd w:id="37"/>
    </w:p>
    <w:p w14:paraId="1C078872" w14:textId="77777777" w:rsidR="00922098" w:rsidRDefault="00922098" w:rsidP="00922098">
      <w:pPr>
        <w:pStyle w:val="ListParagraph"/>
        <w:numPr>
          <w:ilvl w:val="0"/>
          <w:numId w:val="3"/>
        </w:numPr>
        <w:spacing w:after="120" w:line="276" w:lineRule="auto"/>
      </w:pPr>
      <w:r>
        <w:t>57% self-reported health as good, fair or poor.</w:t>
      </w:r>
    </w:p>
    <w:p w14:paraId="680A49FD" w14:textId="77777777" w:rsidR="00922098" w:rsidRPr="003C2A39" w:rsidRDefault="00922098" w:rsidP="00922098">
      <w:pPr>
        <w:pStyle w:val="ListParagraph"/>
        <w:numPr>
          <w:ilvl w:val="0"/>
          <w:numId w:val="3"/>
        </w:numPr>
        <w:spacing w:after="120" w:line="276" w:lineRule="auto"/>
      </w:pPr>
      <w:r>
        <w:t>39% classified as lonely.</w:t>
      </w:r>
    </w:p>
    <w:p w14:paraId="6DC5612C" w14:textId="77777777" w:rsidR="00922098" w:rsidRPr="003C2A39" w:rsidRDefault="00922098" w:rsidP="00922098">
      <w:pPr>
        <w:pStyle w:val="ListParagraph"/>
        <w:numPr>
          <w:ilvl w:val="0"/>
          <w:numId w:val="3"/>
        </w:numPr>
        <w:spacing w:after="120" w:line="276" w:lineRule="auto"/>
      </w:pPr>
      <w:r>
        <w:t>Low 38% eat recommended amount of fruit daily.</w:t>
      </w:r>
    </w:p>
    <w:p w14:paraId="482DD543" w14:textId="77777777" w:rsidR="00922098" w:rsidRPr="003C2A39" w:rsidRDefault="00922098" w:rsidP="00922098">
      <w:pPr>
        <w:pStyle w:val="ListParagraph"/>
        <w:numPr>
          <w:ilvl w:val="0"/>
          <w:numId w:val="3"/>
        </w:numPr>
        <w:spacing w:after="120" w:line="276" w:lineRule="auto"/>
      </w:pPr>
      <w:r>
        <w:t>22% eat fast food more than once a week.</w:t>
      </w:r>
    </w:p>
    <w:p w14:paraId="215B43FB" w14:textId="77777777" w:rsidR="00922098" w:rsidRDefault="00922098" w:rsidP="00922098">
      <w:pPr>
        <w:pStyle w:val="ListParagraph"/>
        <w:numPr>
          <w:ilvl w:val="0"/>
          <w:numId w:val="3"/>
        </w:numPr>
        <w:spacing w:after="120" w:line="276" w:lineRule="auto"/>
      </w:pPr>
      <w:r>
        <w:t>36% sedentary.</w:t>
      </w:r>
    </w:p>
    <w:p w14:paraId="454BC974" w14:textId="77777777" w:rsidR="00922098" w:rsidRDefault="00922098" w:rsidP="00922098">
      <w:pPr>
        <w:pStyle w:val="ListParagraph"/>
        <w:numPr>
          <w:ilvl w:val="0"/>
          <w:numId w:val="3"/>
        </w:numPr>
        <w:spacing w:after="120" w:line="276" w:lineRule="auto"/>
      </w:pPr>
      <w:r>
        <w:t>15% live in a home where the temperature is always uncomfortable.</w:t>
      </w:r>
    </w:p>
    <w:p w14:paraId="077C35BF" w14:textId="77777777" w:rsidR="00922098" w:rsidRDefault="00922098" w:rsidP="00922098">
      <w:pPr>
        <w:pStyle w:val="ListParagraph"/>
        <w:numPr>
          <w:ilvl w:val="0"/>
          <w:numId w:val="3"/>
        </w:numPr>
        <w:spacing w:after="120" w:line="276" w:lineRule="auto"/>
      </w:pPr>
      <w:r>
        <w:t>54% said they ‘definitely’ think multiculturalism makes life in their suburb better.</w:t>
      </w:r>
    </w:p>
    <w:p w14:paraId="43268241" w14:textId="77777777" w:rsidR="00922098" w:rsidRDefault="00922098" w:rsidP="00922098">
      <w:pPr>
        <w:pStyle w:val="Heading3"/>
      </w:pPr>
      <w:bookmarkStart w:id="38" w:name="_Toc195192721"/>
      <w:r>
        <w:t>Planning Area 12</w:t>
      </w:r>
      <w:bookmarkEnd w:id="38"/>
    </w:p>
    <w:p w14:paraId="375FD559" w14:textId="77777777" w:rsidR="00922098" w:rsidRPr="00655F43" w:rsidRDefault="00922098" w:rsidP="00922098">
      <w:pPr>
        <w:pStyle w:val="ListParagraph"/>
        <w:numPr>
          <w:ilvl w:val="0"/>
          <w:numId w:val="3"/>
        </w:numPr>
        <w:spacing w:after="120" w:line="276" w:lineRule="auto"/>
      </w:pPr>
      <w:r>
        <w:t>88% provided good life satisfaction rating of 7-10 out of 10.</w:t>
      </w:r>
    </w:p>
    <w:p w14:paraId="72889A16" w14:textId="77777777" w:rsidR="00922098" w:rsidRDefault="00922098" w:rsidP="00922098">
      <w:pPr>
        <w:pStyle w:val="ListParagraph"/>
        <w:numPr>
          <w:ilvl w:val="0"/>
          <w:numId w:val="3"/>
        </w:numPr>
        <w:spacing w:after="120" w:line="276" w:lineRule="auto"/>
      </w:pPr>
      <w:r>
        <w:t>28% sedentary.</w:t>
      </w:r>
    </w:p>
    <w:p w14:paraId="7D8C2743" w14:textId="77777777" w:rsidR="00922098" w:rsidRDefault="00922098" w:rsidP="00922098">
      <w:pPr>
        <w:pStyle w:val="Heading3"/>
      </w:pPr>
      <w:bookmarkStart w:id="39" w:name="_Toc195192722"/>
      <w:r>
        <w:t>Planning Area 13</w:t>
      </w:r>
      <w:bookmarkEnd w:id="39"/>
    </w:p>
    <w:p w14:paraId="04CB3D7D" w14:textId="77777777" w:rsidR="00922098" w:rsidRDefault="00922098" w:rsidP="00922098">
      <w:pPr>
        <w:pStyle w:val="ListParagraph"/>
        <w:numPr>
          <w:ilvl w:val="0"/>
          <w:numId w:val="3"/>
        </w:numPr>
        <w:spacing w:after="120" w:line="276" w:lineRule="auto"/>
      </w:pPr>
      <w:r>
        <w:t>70% self-reported health as good, fair or poor.</w:t>
      </w:r>
    </w:p>
    <w:p w14:paraId="0402998A" w14:textId="77777777" w:rsidR="00922098" w:rsidRPr="00647124" w:rsidRDefault="00922098" w:rsidP="00922098">
      <w:pPr>
        <w:pStyle w:val="ListParagraph"/>
        <w:numPr>
          <w:ilvl w:val="0"/>
          <w:numId w:val="3"/>
        </w:numPr>
        <w:spacing w:after="120" w:line="276" w:lineRule="auto"/>
      </w:pPr>
      <w:r>
        <w:t>41% provided poor life satisfaction rating of 0-6 out of 10.</w:t>
      </w:r>
    </w:p>
    <w:p w14:paraId="72C8EE4A" w14:textId="77777777" w:rsidR="00922098" w:rsidRDefault="00922098" w:rsidP="00922098">
      <w:pPr>
        <w:pStyle w:val="ListParagraph"/>
        <w:numPr>
          <w:ilvl w:val="0"/>
          <w:numId w:val="3"/>
        </w:numPr>
        <w:spacing w:after="120" w:line="276" w:lineRule="auto"/>
      </w:pPr>
      <w:r>
        <w:lastRenderedPageBreak/>
        <w:t>Low overall subjective wellbeing score (64.2/100) due to low ratings for future security, standard of living, what they are achieving in life, perceptions of safety.</w:t>
      </w:r>
    </w:p>
    <w:p w14:paraId="216A7EB3" w14:textId="77777777" w:rsidR="00922098" w:rsidRPr="001E0D49" w:rsidRDefault="00922098" w:rsidP="00922098">
      <w:pPr>
        <w:pStyle w:val="ListParagraph"/>
        <w:numPr>
          <w:ilvl w:val="0"/>
          <w:numId w:val="3"/>
        </w:numPr>
        <w:spacing w:after="120" w:line="276" w:lineRule="auto"/>
      </w:pPr>
      <w:r>
        <w:t>28% classified as being in severe or moderate psychological distress.</w:t>
      </w:r>
    </w:p>
    <w:p w14:paraId="0D8B6F93" w14:textId="77777777" w:rsidR="00922098" w:rsidRPr="001E0D49" w:rsidRDefault="00922098" w:rsidP="00922098">
      <w:pPr>
        <w:pStyle w:val="ListParagraph"/>
        <w:numPr>
          <w:ilvl w:val="0"/>
          <w:numId w:val="3"/>
        </w:numPr>
        <w:spacing w:after="120" w:line="276" w:lineRule="auto"/>
      </w:pPr>
      <w:r>
        <w:t>38% sought professional help for a mental health related problem.</w:t>
      </w:r>
    </w:p>
    <w:p w14:paraId="39440603" w14:textId="77777777" w:rsidR="00922098" w:rsidRPr="001E0D49" w:rsidRDefault="00922098" w:rsidP="00922098">
      <w:pPr>
        <w:pStyle w:val="ListParagraph"/>
        <w:numPr>
          <w:ilvl w:val="0"/>
          <w:numId w:val="3"/>
        </w:numPr>
        <w:spacing w:after="120" w:line="276" w:lineRule="auto"/>
      </w:pPr>
      <w:r>
        <w:t>46%</w:t>
      </w:r>
      <w:r w:rsidRPr="001E0D49">
        <w:t xml:space="preserve"> </w:t>
      </w:r>
      <w:r>
        <w:t>classified as lonely.</w:t>
      </w:r>
    </w:p>
    <w:p w14:paraId="01A76FFE" w14:textId="77777777" w:rsidR="00922098" w:rsidRPr="003C2A39" w:rsidRDefault="00922098" w:rsidP="00922098">
      <w:pPr>
        <w:pStyle w:val="ListParagraph"/>
        <w:numPr>
          <w:ilvl w:val="0"/>
          <w:numId w:val="3"/>
        </w:numPr>
        <w:spacing w:after="120" w:line="276" w:lineRule="auto"/>
      </w:pPr>
      <w:r>
        <w:t>66% not a member of any group.</w:t>
      </w:r>
    </w:p>
    <w:p w14:paraId="0F802105" w14:textId="77777777" w:rsidR="00922098" w:rsidRDefault="00922098" w:rsidP="00922098">
      <w:pPr>
        <w:pStyle w:val="ListParagraph"/>
        <w:numPr>
          <w:ilvl w:val="0"/>
          <w:numId w:val="3"/>
        </w:numPr>
        <w:spacing w:after="120" w:line="276" w:lineRule="auto"/>
      </w:pPr>
      <w:r>
        <w:t>Low 37% eat recommended amount of fruit daily.</w:t>
      </w:r>
    </w:p>
    <w:p w14:paraId="417F63B5" w14:textId="77777777" w:rsidR="00922098" w:rsidRPr="003C2A39" w:rsidRDefault="00922098" w:rsidP="00922098">
      <w:pPr>
        <w:pStyle w:val="ListParagraph"/>
        <w:numPr>
          <w:ilvl w:val="0"/>
          <w:numId w:val="3"/>
        </w:numPr>
        <w:spacing w:after="120" w:line="276" w:lineRule="auto"/>
      </w:pPr>
      <w:r>
        <w:t>23% eat fast food more than once a week.</w:t>
      </w:r>
    </w:p>
    <w:p w14:paraId="4F20E025" w14:textId="77777777" w:rsidR="00922098" w:rsidRPr="00E85841" w:rsidRDefault="00922098" w:rsidP="00922098">
      <w:pPr>
        <w:pStyle w:val="ListParagraph"/>
        <w:numPr>
          <w:ilvl w:val="0"/>
          <w:numId w:val="3"/>
        </w:numPr>
        <w:spacing w:after="120" w:line="276" w:lineRule="auto"/>
      </w:pPr>
      <w:r>
        <w:t>43% consume sugar sweetened drinks more than once a week.</w:t>
      </w:r>
    </w:p>
    <w:p w14:paraId="3B43D53E" w14:textId="77777777" w:rsidR="00922098" w:rsidRPr="00655F43" w:rsidRDefault="00922098" w:rsidP="00922098">
      <w:pPr>
        <w:pStyle w:val="ListParagraph"/>
        <w:numPr>
          <w:ilvl w:val="0"/>
          <w:numId w:val="3"/>
        </w:numPr>
        <w:spacing w:after="120" w:line="276" w:lineRule="auto"/>
      </w:pPr>
      <w:r>
        <w:t>Low 12% cycle continuously for more than 10 minutes at least once a week.</w:t>
      </w:r>
    </w:p>
    <w:p w14:paraId="34587148" w14:textId="77777777" w:rsidR="00922098" w:rsidRPr="00655F43" w:rsidRDefault="00922098" w:rsidP="00922098">
      <w:pPr>
        <w:pStyle w:val="ListParagraph"/>
        <w:numPr>
          <w:ilvl w:val="0"/>
          <w:numId w:val="3"/>
        </w:numPr>
        <w:spacing w:after="120" w:line="276" w:lineRule="auto"/>
      </w:pPr>
      <w:r>
        <w:t>29% sedentary.</w:t>
      </w:r>
    </w:p>
    <w:p w14:paraId="3FFEB51E" w14:textId="77777777" w:rsidR="00922098" w:rsidRPr="000475D6" w:rsidRDefault="00922098" w:rsidP="00922098">
      <w:pPr>
        <w:pStyle w:val="ListParagraph"/>
        <w:numPr>
          <w:ilvl w:val="0"/>
          <w:numId w:val="3"/>
        </w:numPr>
        <w:spacing w:after="120" w:line="276" w:lineRule="auto"/>
      </w:pPr>
      <w:r>
        <w:t>41%% classified as obese.</w:t>
      </w:r>
    </w:p>
    <w:p w14:paraId="29771133" w14:textId="77777777" w:rsidR="00922098" w:rsidRPr="000475D6" w:rsidRDefault="00922098" w:rsidP="00922098">
      <w:pPr>
        <w:pStyle w:val="ListParagraph"/>
        <w:numPr>
          <w:ilvl w:val="0"/>
          <w:numId w:val="3"/>
        </w:numPr>
        <w:spacing w:after="120" w:line="276" w:lineRule="auto"/>
      </w:pPr>
      <w:r>
        <w:t>Low 55% could raise $2,000 in a week in an emergency.</w:t>
      </w:r>
    </w:p>
    <w:p w14:paraId="57DB8813" w14:textId="77777777" w:rsidR="00922098" w:rsidRPr="000475D6" w:rsidRDefault="00922098" w:rsidP="00922098">
      <w:pPr>
        <w:pStyle w:val="ListParagraph"/>
        <w:numPr>
          <w:ilvl w:val="0"/>
          <w:numId w:val="3"/>
        </w:numPr>
        <w:spacing w:after="120" w:line="276" w:lineRule="auto"/>
      </w:pPr>
      <w:r>
        <w:t>23% had run out of food and couldn’t afford to buy more.</w:t>
      </w:r>
    </w:p>
    <w:p w14:paraId="1C0023BC" w14:textId="77777777" w:rsidR="00922098" w:rsidRPr="00CF1D56" w:rsidRDefault="00922098" w:rsidP="00922098">
      <w:pPr>
        <w:pStyle w:val="ListParagraph"/>
        <w:numPr>
          <w:ilvl w:val="0"/>
          <w:numId w:val="3"/>
        </w:numPr>
        <w:spacing w:after="120" w:line="276" w:lineRule="auto"/>
      </w:pPr>
      <w:r>
        <w:t>42% were worried they might run out of food.</w:t>
      </w:r>
    </w:p>
    <w:p w14:paraId="4C67AD2D" w14:textId="77777777" w:rsidR="00922098" w:rsidRDefault="00922098" w:rsidP="00922098">
      <w:pPr>
        <w:pStyle w:val="ListParagraph"/>
        <w:numPr>
          <w:ilvl w:val="0"/>
          <w:numId w:val="3"/>
        </w:numPr>
        <w:spacing w:after="120" w:line="276" w:lineRule="auto"/>
      </w:pPr>
      <w:r>
        <w:t>16% live in a home where the temperature is always uncomfortable.</w:t>
      </w:r>
    </w:p>
    <w:p w14:paraId="406B74EF" w14:textId="77777777" w:rsidR="00922098" w:rsidRDefault="00922098" w:rsidP="00922098">
      <w:pPr>
        <w:pStyle w:val="ListParagraph"/>
        <w:numPr>
          <w:ilvl w:val="0"/>
          <w:numId w:val="13"/>
        </w:numPr>
        <w:spacing w:after="120" w:line="276" w:lineRule="auto"/>
      </w:pPr>
      <w:r>
        <w:t>17% feel unsafe in the area where they live.</w:t>
      </w:r>
    </w:p>
    <w:p w14:paraId="7571C9A4" w14:textId="77777777" w:rsidR="00922098" w:rsidRDefault="00922098" w:rsidP="00922098">
      <w:pPr>
        <w:pStyle w:val="ListParagraph"/>
        <w:numPr>
          <w:ilvl w:val="0"/>
          <w:numId w:val="3"/>
        </w:numPr>
        <w:spacing w:after="120" w:line="276" w:lineRule="auto"/>
      </w:pPr>
      <w:r>
        <w:t>76% of those who felt unsafe said it was due to a personal experience.</w:t>
      </w:r>
    </w:p>
    <w:p w14:paraId="29518A19" w14:textId="77777777" w:rsidR="00922098" w:rsidRPr="006F1FAE" w:rsidRDefault="00922098" w:rsidP="00922098">
      <w:pPr>
        <w:pStyle w:val="ListParagraph"/>
        <w:numPr>
          <w:ilvl w:val="0"/>
          <w:numId w:val="3"/>
        </w:numPr>
        <w:spacing w:after="120" w:line="276" w:lineRule="auto"/>
      </w:pPr>
      <w:r>
        <w:t>41% rated the area where they live as more unsafe than other areas of Greater Geelong.</w:t>
      </w:r>
    </w:p>
    <w:p w14:paraId="382B9BC0" w14:textId="77777777" w:rsidR="00922098" w:rsidRDefault="00922098" w:rsidP="00922098">
      <w:pPr>
        <w:pStyle w:val="ListParagraph"/>
        <w:numPr>
          <w:ilvl w:val="0"/>
          <w:numId w:val="3"/>
        </w:numPr>
        <w:spacing w:after="120" w:line="276" w:lineRule="auto"/>
      </w:pPr>
      <w:r>
        <w:t>52% of those who said they had experienced discrimination said it was due to the suburb where they live (70% in Norlane and 42% in Corio).</w:t>
      </w:r>
    </w:p>
    <w:p w14:paraId="7C02F734" w14:textId="77777777" w:rsidR="00922098" w:rsidRDefault="00922098" w:rsidP="00922098">
      <w:pPr>
        <w:pStyle w:val="Heading3"/>
      </w:pPr>
      <w:bookmarkStart w:id="40" w:name="_Toc195192723"/>
      <w:r>
        <w:t>Planning Area 14</w:t>
      </w:r>
      <w:bookmarkEnd w:id="40"/>
    </w:p>
    <w:p w14:paraId="18D279A8" w14:textId="77777777" w:rsidR="00922098" w:rsidRDefault="00922098" w:rsidP="00922098">
      <w:pPr>
        <w:pStyle w:val="ListParagraph"/>
        <w:numPr>
          <w:ilvl w:val="0"/>
          <w:numId w:val="3"/>
        </w:numPr>
        <w:spacing w:after="120" w:line="276" w:lineRule="auto"/>
      </w:pPr>
      <w:r>
        <w:t>Low 40% eat recommended amount of fruit daily.</w:t>
      </w:r>
    </w:p>
    <w:p w14:paraId="5D91EDEF" w14:textId="77777777" w:rsidR="00922098" w:rsidRPr="00655F43" w:rsidRDefault="00922098" w:rsidP="00922098">
      <w:pPr>
        <w:pStyle w:val="ListParagraph"/>
        <w:numPr>
          <w:ilvl w:val="0"/>
          <w:numId w:val="3"/>
        </w:numPr>
        <w:spacing w:after="120" w:line="276" w:lineRule="auto"/>
      </w:pPr>
      <w:r>
        <w:t>21% eat fast food more than once a week.</w:t>
      </w:r>
    </w:p>
    <w:p w14:paraId="4261C3BD" w14:textId="77777777" w:rsidR="00922098" w:rsidRPr="00530928" w:rsidRDefault="00922098" w:rsidP="00922098">
      <w:pPr>
        <w:pStyle w:val="ListParagraph"/>
        <w:numPr>
          <w:ilvl w:val="0"/>
          <w:numId w:val="3"/>
        </w:numPr>
        <w:spacing w:after="120" w:line="276" w:lineRule="auto"/>
      </w:pPr>
      <w:r>
        <w:t>Low 10% cycle continuously for more than 10 minutes at least once a week.</w:t>
      </w:r>
    </w:p>
    <w:p w14:paraId="3B9F024D" w14:textId="77777777" w:rsidR="00922098" w:rsidRDefault="00922098" w:rsidP="00922098">
      <w:pPr>
        <w:pStyle w:val="ListParagraph"/>
        <w:numPr>
          <w:ilvl w:val="0"/>
          <w:numId w:val="3"/>
        </w:numPr>
        <w:spacing w:after="120" w:line="276" w:lineRule="auto"/>
      </w:pPr>
      <w:r>
        <w:t>Low 33% said they ‘definitely’ think multiculturalism makes life in their suburb better.</w:t>
      </w:r>
    </w:p>
    <w:p w14:paraId="5E28193D" w14:textId="77777777" w:rsidR="00922098" w:rsidRDefault="00922098" w:rsidP="00922098">
      <w:pPr>
        <w:pStyle w:val="Heading3"/>
      </w:pPr>
      <w:bookmarkStart w:id="41" w:name="_Toc195192724"/>
      <w:r>
        <w:t>Planning Area 15</w:t>
      </w:r>
      <w:bookmarkEnd w:id="41"/>
    </w:p>
    <w:p w14:paraId="435D2E20" w14:textId="77777777" w:rsidR="00922098" w:rsidRDefault="00922098" w:rsidP="00922098">
      <w:pPr>
        <w:pStyle w:val="ListParagraph"/>
        <w:numPr>
          <w:ilvl w:val="0"/>
          <w:numId w:val="3"/>
        </w:numPr>
        <w:spacing w:after="120" w:line="276" w:lineRule="auto"/>
      </w:pPr>
      <w:r>
        <w:t>Low overall subjective wellbeing score (71.3/100) due to low ratings for perceptions of safety, feeling part of the community.</w:t>
      </w:r>
    </w:p>
    <w:p w14:paraId="68BF49DB" w14:textId="77777777" w:rsidR="00922098" w:rsidRDefault="00922098" w:rsidP="00922098">
      <w:pPr>
        <w:pStyle w:val="ListParagraph"/>
        <w:numPr>
          <w:ilvl w:val="0"/>
          <w:numId w:val="3"/>
        </w:numPr>
        <w:spacing w:after="120" w:line="276" w:lineRule="auto"/>
      </w:pPr>
      <w:r>
        <w:t>11% feel unsafe in the area where they live.</w:t>
      </w:r>
    </w:p>
    <w:p w14:paraId="73E7EABE" w14:textId="77777777" w:rsidR="00922098" w:rsidRDefault="00922098" w:rsidP="00922098"/>
    <w:p w14:paraId="21648741" w14:textId="77777777" w:rsidR="00922098" w:rsidRDefault="00922098" w:rsidP="00922098"/>
    <w:p w14:paraId="6FCCED91" w14:textId="23C2D1DB" w:rsidR="00922098" w:rsidRDefault="00922098">
      <w:r>
        <w:br w:type="page"/>
      </w:r>
    </w:p>
    <w:p w14:paraId="03F993E8" w14:textId="510B20A5" w:rsidR="00922098" w:rsidRDefault="00922098" w:rsidP="00922098">
      <w:r w:rsidRPr="00640017">
        <w:rPr>
          <w:noProof/>
          <w:lang w:eastAsia="en-AU"/>
        </w:rPr>
        <w:lastRenderedPageBreak/>
        <w:drawing>
          <wp:inline distT="0" distB="0" distL="0" distR="0" wp14:anchorId="32F04B9C" wp14:editId="73A46BFE">
            <wp:extent cx="5731510" cy="6402429"/>
            <wp:effectExtent l="0" t="0" r="2540" b="0"/>
            <wp:docPr id="41" name="Picture 41" descr="This is a map of Greater Geelong showing the boundaries of all 15 planning areas. The suburbs within each planning area are explained in the following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This is a map of Greater Geelong showing the boundaries of all 15 planning areas. The suburbs within each planning area are explained in the following table."/>
                    <pic:cNvPicPr/>
                  </pic:nvPicPr>
                  <pic:blipFill rotWithShape="1">
                    <a:blip r:embed="rId14"/>
                    <a:srcRect t="10841" r="46743"/>
                    <a:stretch/>
                  </pic:blipFill>
                  <pic:spPr bwMode="auto">
                    <a:xfrm>
                      <a:off x="0" y="0"/>
                      <a:ext cx="5731510" cy="6402429"/>
                    </a:xfrm>
                    <a:prstGeom prst="rect">
                      <a:avLst/>
                    </a:prstGeom>
                    <a:ln>
                      <a:noFill/>
                    </a:ln>
                    <a:extLst>
                      <a:ext uri="{53640926-AAD7-44D8-BBD7-CCE9431645EC}">
                        <a14:shadowObscured xmlns:a14="http://schemas.microsoft.com/office/drawing/2010/main"/>
                      </a:ext>
                    </a:extLst>
                  </pic:spPr>
                </pic:pic>
              </a:graphicData>
            </a:graphic>
          </wp:inline>
        </w:drawing>
      </w:r>
    </w:p>
    <w:tbl>
      <w:tblPr>
        <w:tblStyle w:val="GridTable6Colorful-Accent5"/>
        <w:tblW w:w="6560" w:type="dxa"/>
        <w:tblLook w:val="04A0" w:firstRow="1" w:lastRow="0" w:firstColumn="1" w:lastColumn="0" w:noHBand="0" w:noVBand="1"/>
      </w:tblPr>
      <w:tblGrid>
        <w:gridCol w:w="699"/>
        <w:gridCol w:w="5861"/>
      </w:tblGrid>
      <w:tr w:rsidR="00922098" w:rsidRPr="00754A36" w14:paraId="61F23F36" w14:textId="77777777" w:rsidTr="0080045B">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7CC8C647"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1</w:t>
            </w:r>
          </w:p>
        </w:tc>
        <w:tc>
          <w:tcPr>
            <w:tcW w:w="5861" w:type="dxa"/>
            <w:hideMark/>
          </w:tcPr>
          <w:p w14:paraId="3D6B8C4D" w14:textId="77777777" w:rsidR="00922098" w:rsidRPr="00754A36" w:rsidRDefault="00922098" w:rsidP="0080045B">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b w:val="0"/>
                <w:sz w:val="24"/>
                <w:szCs w:val="24"/>
                <w:lang w:eastAsia="en-AU"/>
              </w:rPr>
            </w:pPr>
            <w:r w:rsidRPr="00754A36">
              <w:rPr>
                <w:rFonts w:ascii="Century Gothic" w:eastAsia="Times New Roman" w:hAnsi="Century Gothic" w:cs="Arial"/>
                <w:b w:val="0"/>
                <w:sz w:val="24"/>
                <w:szCs w:val="24"/>
                <w:lang w:eastAsia="en-AU"/>
              </w:rPr>
              <w:t>Armstrong Creek</w:t>
            </w:r>
          </w:p>
        </w:tc>
      </w:tr>
      <w:tr w:rsidR="00922098" w:rsidRPr="00754A36" w14:paraId="3FD0790A"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256FE145"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021E80F"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Charlemont</w:t>
            </w:r>
          </w:p>
        </w:tc>
      </w:tr>
      <w:tr w:rsidR="00922098" w:rsidRPr="00754A36" w14:paraId="1EBE4253" w14:textId="77777777" w:rsidTr="0080045B">
        <w:trPr>
          <w:trHeight w:val="360"/>
        </w:trPr>
        <w:tc>
          <w:tcPr>
            <w:cnfStyle w:val="001000000000" w:firstRow="0" w:lastRow="0" w:firstColumn="1" w:lastColumn="0" w:oddVBand="0" w:evenVBand="0" w:oddHBand="0" w:evenHBand="0" w:firstRowFirstColumn="0" w:firstRowLastColumn="0" w:lastRowFirstColumn="0" w:lastRowLastColumn="0"/>
            <w:tcW w:w="699" w:type="dxa"/>
            <w:vMerge/>
          </w:tcPr>
          <w:p w14:paraId="3BC05C8F"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DABB150"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Marshall</w:t>
            </w:r>
          </w:p>
        </w:tc>
      </w:tr>
      <w:tr w:rsidR="00922098" w:rsidRPr="00754A36" w14:paraId="225C9970"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04033216"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2</w:t>
            </w:r>
          </w:p>
        </w:tc>
        <w:tc>
          <w:tcPr>
            <w:tcW w:w="5861" w:type="dxa"/>
            <w:hideMark/>
          </w:tcPr>
          <w:p w14:paraId="09A537DC"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Barwon Heads</w:t>
            </w:r>
          </w:p>
        </w:tc>
      </w:tr>
      <w:tr w:rsidR="00922098" w:rsidRPr="00754A36" w14:paraId="177BF884"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55771F19"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5F0F1E0"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Breamlea</w:t>
            </w:r>
          </w:p>
        </w:tc>
      </w:tr>
      <w:tr w:rsidR="00922098" w:rsidRPr="00754A36" w14:paraId="5C0A4D7C"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09F9A723"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498DB29F"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Connewarre</w:t>
            </w:r>
          </w:p>
        </w:tc>
      </w:tr>
      <w:tr w:rsidR="00922098" w:rsidRPr="00754A36" w14:paraId="6580F63C"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124B7214"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73642F8C"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Mannerim</w:t>
            </w:r>
          </w:p>
        </w:tc>
      </w:tr>
      <w:tr w:rsidR="00922098" w:rsidRPr="00754A36" w14:paraId="5159CB53"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1F7336B0"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2205BE14"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Marcus Hill</w:t>
            </w:r>
          </w:p>
        </w:tc>
      </w:tr>
      <w:tr w:rsidR="00922098" w:rsidRPr="00754A36" w14:paraId="63C9F9AC"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7CDA029E"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2A374F0"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Ocean Grove</w:t>
            </w:r>
          </w:p>
        </w:tc>
      </w:tr>
      <w:tr w:rsidR="00922098" w:rsidRPr="00754A36" w14:paraId="25CCE94F"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567C1732"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7192BF97"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Point Lonsdale</w:t>
            </w:r>
          </w:p>
        </w:tc>
      </w:tr>
      <w:tr w:rsidR="00922098" w:rsidRPr="00754A36" w14:paraId="0DD8034A"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411F5371"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69D0E46C"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Swan Bay</w:t>
            </w:r>
          </w:p>
        </w:tc>
      </w:tr>
      <w:tr w:rsidR="00922098" w:rsidRPr="00754A36" w14:paraId="6CCC2C61" w14:textId="77777777" w:rsidTr="0080045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9" w:type="dxa"/>
            <w:vMerge/>
          </w:tcPr>
          <w:p w14:paraId="3302F19E"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12FC1C08"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Wallington</w:t>
            </w:r>
          </w:p>
        </w:tc>
      </w:tr>
      <w:tr w:rsidR="00922098" w:rsidRPr="00754A36" w14:paraId="1BBFBDD3"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auto"/>
          </w:tcPr>
          <w:p w14:paraId="6FCF7E65"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3</w:t>
            </w:r>
          </w:p>
        </w:tc>
        <w:tc>
          <w:tcPr>
            <w:tcW w:w="5861" w:type="dxa"/>
            <w:hideMark/>
          </w:tcPr>
          <w:p w14:paraId="0630DDF5"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Bellarine</w:t>
            </w:r>
          </w:p>
        </w:tc>
      </w:tr>
      <w:tr w:rsidR="00922098" w:rsidRPr="00754A36" w14:paraId="1EA810FD"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25E1F583"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68945C5B"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Clifton Springs</w:t>
            </w:r>
          </w:p>
        </w:tc>
      </w:tr>
      <w:tr w:rsidR="00922098" w:rsidRPr="00754A36" w14:paraId="3F761493"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30A06C0A"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155D82F8"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Curlewis</w:t>
            </w:r>
          </w:p>
        </w:tc>
      </w:tr>
      <w:tr w:rsidR="00922098" w:rsidRPr="00754A36" w14:paraId="174F3958" w14:textId="77777777" w:rsidTr="0080045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300012E3"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0DE14CE2"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Drysdale</w:t>
            </w:r>
          </w:p>
        </w:tc>
      </w:tr>
      <w:tr w:rsidR="00922098" w:rsidRPr="00754A36" w14:paraId="2D1DEF54"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F2CEED" w:themeFill="accent5" w:themeFillTint="33"/>
          </w:tcPr>
          <w:p w14:paraId="5557A422"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4</w:t>
            </w:r>
          </w:p>
        </w:tc>
        <w:tc>
          <w:tcPr>
            <w:tcW w:w="5861" w:type="dxa"/>
            <w:hideMark/>
          </w:tcPr>
          <w:p w14:paraId="1E408AEA"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Indented Head</w:t>
            </w:r>
          </w:p>
        </w:tc>
      </w:tr>
      <w:tr w:rsidR="00922098" w:rsidRPr="00754A36" w14:paraId="61349406"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70732575"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0C70DF56"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Portarlington</w:t>
            </w:r>
          </w:p>
        </w:tc>
      </w:tr>
      <w:tr w:rsidR="00922098" w:rsidRPr="00754A36" w14:paraId="2C4C2CC9" w14:textId="77777777" w:rsidTr="0080045B">
        <w:trPr>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F2CEED" w:themeFill="accent5" w:themeFillTint="33"/>
          </w:tcPr>
          <w:p w14:paraId="391F8358"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08FEA6A8"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St Leonards</w:t>
            </w:r>
          </w:p>
        </w:tc>
      </w:tr>
      <w:tr w:rsidR="00922098" w:rsidRPr="00754A36" w14:paraId="594A7F7A" w14:textId="77777777" w:rsidTr="0080045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9" w:type="dxa"/>
            <w:shd w:val="clear" w:color="auto" w:fill="auto"/>
          </w:tcPr>
          <w:p w14:paraId="015EE5E1"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5</w:t>
            </w:r>
          </w:p>
        </w:tc>
        <w:tc>
          <w:tcPr>
            <w:tcW w:w="5861" w:type="dxa"/>
            <w:hideMark/>
          </w:tcPr>
          <w:p w14:paraId="30A58776"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Leopold</w:t>
            </w:r>
          </w:p>
        </w:tc>
      </w:tr>
      <w:tr w:rsidR="00922098" w:rsidRPr="00754A36" w14:paraId="36F0FDAC"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F2CEED" w:themeFill="accent5" w:themeFillTint="33"/>
          </w:tcPr>
          <w:p w14:paraId="1A0946D9"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6</w:t>
            </w:r>
          </w:p>
        </w:tc>
        <w:tc>
          <w:tcPr>
            <w:tcW w:w="5861" w:type="dxa"/>
            <w:hideMark/>
          </w:tcPr>
          <w:p w14:paraId="70EFB49E"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Breakwater</w:t>
            </w:r>
          </w:p>
        </w:tc>
      </w:tr>
      <w:tr w:rsidR="00922098" w:rsidRPr="00754A36" w14:paraId="798BF78F"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56407517"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01D8E9BF"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Moolap</w:t>
            </w:r>
          </w:p>
        </w:tc>
      </w:tr>
      <w:tr w:rsidR="00922098" w:rsidRPr="00754A36" w14:paraId="2CF8D246"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F2CEED" w:themeFill="accent5" w:themeFillTint="33"/>
          </w:tcPr>
          <w:p w14:paraId="09A52B7B"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2081C1E9"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Newcomb</w:t>
            </w:r>
          </w:p>
        </w:tc>
      </w:tr>
      <w:tr w:rsidR="00922098" w:rsidRPr="00754A36" w14:paraId="32E2E9DD"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60A79DF8"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19642B6E"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St Albans Park</w:t>
            </w:r>
          </w:p>
        </w:tc>
      </w:tr>
      <w:tr w:rsidR="00922098" w:rsidRPr="00754A36" w14:paraId="234D6E01"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F2CEED" w:themeFill="accent5" w:themeFillTint="33"/>
          </w:tcPr>
          <w:p w14:paraId="46328107"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1A8CB6CC"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Thomson</w:t>
            </w:r>
          </w:p>
        </w:tc>
      </w:tr>
      <w:tr w:rsidR="00922098" w:rsidRPr="00754A36" w14:paraId="638EE9B6" w14:textId="77777777" w:rsidTr="0080045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9" w:type="dxa"/>
            <w:vMerge/>
          </w:tcPr>
          <w:p w14:paraId="6C81D12F"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4B42FA73"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Whittington</w:t>
            </w:r>
          </w:p>
        </w:tc>
      </w:tr>
      <w:tr w:rsidR="00922098" w:rsidRPr="00754A36" w14:paraId="187DF771"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auto"/>
          </w:tcPr>
          <w:p w14:paraId="7CA8E672"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7</w:t>
            </w:r>
          </w:p>
        </w:tc>
        <w:tc>
          <w:tcPr>
            <w:tcW w:w="5861" w:type="dxa"/>
            <w:hideMark/>
          </w:tcPr>
          <w:p w14:paraId="769DA2DD"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Grovedale</w:t>
            </w:r>
          </w:p>
        </w:tc>
      </w:tr>
      <w:tr w:rsidR="00922098" w:rsidRPr="00754A36" w14:paraId="25E5C518"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338A66F8"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F9D056B"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Mount Duneed</w:t>
            </w:r>
          </w:p>
        </w:tc>
      </w:tr>
      <w:tr w:rsidR="00922098" w:rsidRPr="00754A36" w14:paraId="2C3A9D46" w14:textId="77777777" w:rsidTr="0080045B">
        <w:trPr>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7AC700C8"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3F75FB68"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Waurn Ponds</w:t>
            </w:r>
          </w:p>
        </w:tc>
      </w:tr>
      <w:tr w:rsidR="00922098" w:rsidRPr="00754A36" w14:paraId="74EDE90E"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5FB04DC3"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8</w:t>
            </w:r>
          </w:p>
        </w:tc>
        <w:tc>
          <w:tcPr>
            <w:tcW w:w="5861" w:type="dxa"/>
            <w:hideMark/>
          </w:tcPr>
          <w:p w14:paraId="09A408AF"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Belmont</w:t>
            </w:r>
          </w:p>
        </w:tc>
      </w:tr>
      <w:tr w:rsidR="00922098" w:rsidRPr="00754A36" w14:paraId="139612DE"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F2CEED" w:themeFill="accent5" w:themeFillTint="33"/>
          </w:tcPr>
          <w:p w14:paraId="6612A2DD"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73FEDDF6"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Ceres</w:t>
            </w:r>
          </w:p>
        </w:tc>
      </w:tr>
      <w:tr w:rsidR="00922098" w:rsidRPr="00754A36" w14:paraId="452DA746"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7F5E82B8"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67C9D643"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Highton</w:t>
            </w:r>
          </w:p>
        </w:tc>
      </w:tr>
      <w:tr w:rsidR="00922098" w:rsidRPr="00754A36" w14:paraId="0AF4A44A" w14:textId="77777777" w:rsidTr="0080045B">
        <w:trPr>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F2CEED" w:themeFill="accent5" w:themeFillTint="33"/>
          </w:tcPr>
          <w:p w14:paraId="03770798"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086AF98F"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Wandana Heights</w:t>
            </w:r>
          </w:p>
        </w:tc>
      </w:tr>
      <w:tr w:rsidR="00922098" w:rsidRPr="00754A36" w14:paraId="1C76493E"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auto"/>
          </w:tcPr>
          <w:p w14:paraId="664F6D58"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9</w:t>
            </w:r>
          </w:p>
        </w:tc>
        <w:tc>
          <w:tcPr>
            <w:tcW w:w="5861" w:type="dxa"/>
            <w:hideMark/>
          </w:tcPr>
          <w:p w14:paraId="1022A73B"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Drumcondra</w:t>
            </w:r>
          </w:p>
        </w:tc>
      </w:tr>
      <w:tr w:rsidR="00922098" w:rsidRPr="00754A36" w14:paraId="6C8E2577"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00E49BF4"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D3F9D9B"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East Geelong</w:t>
            </w:r>
          </w:p>
        </w:tc>
      </w:tr>
      <w:tr w:rsidR="00922098" w:rsidRPr="00754A36" w14:paraId="203D4CDD"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24402996"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4C8833F0"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Geelong</w:t>
            </w:r>
          </w:p>
        </w:tc>
      </w:tr>
      <w:tr w:rsidR="00922098" w:rsidRPr="00754A36" w14:paraId="5A7FBD86" w14:textId="77777777" w:rsidTr="0080045B">
        <w:trPr>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6ABA897B"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113933AA"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South Geelong</w:t>
            </w:r>
          </w:p>
        </w:tc>
      </w:tr>
      <w:tr w:rsidR="00922098" w:rsidRPr="00754A36" w14:paraId="55E579FD"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tcPr>
          <w:p w14:paraId="7196A36E"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10</w:t>
            </w:r>
          </w:p>
        </w:tc>
        <w:tc>
          <w:tcPr>
            <w:tcW w:w="5861" w:type="dxa"/>
            <w:hideMark/>
          </w:tcPr>
          <w:p w14:paraId="3B08A66D"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Geelong West</w:t>
            </w:r>
          </w:p>
        </w:tc>
      </w:tr>
      <w:tr w:rsidR="00922098" w:rsidRPr="00754A36" w14:paraId="5941C576"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F2CEED" w:themeFill="accent5" w:themeFillTint="33"/>
          </w:tcPr>
          <w:p w14:paraId="5F85C94F"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2A88B2D8"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Manifold Heights</w:t>
            </w:r>
          </w:p>
        </w:tc>
      </w:tr>
      <w:tr w:rsidR="00922098" w:rsidRPr="00754A36" w14:paraId="529CC114" w14:textId="77777777" w:rsidTr="0080045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9" w:type="dxa"/>
            <w:vMerge/>
          </w:tcPr>
          <w:p w14:paraId="4B411429"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1AAF5000"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Newtown</w:t>
            </w:r>
          </w:p>
        </w:tc>
      </w:tr>
      <w:tr w:rsidR="00922098" w:rsidRPr="00754A36" w14:paraId="57F8567E"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auto"/>
          </w:tcPr>
          <w:p w14:paraId="62A7F521"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11</w:t>
            </w:r>
          </w:p>
        </w:tc>
        <w:tc>
          <w:tcPr>
            <w:tcW w:w="5861" w:type="dxa"/>
            <w:hideMark/>
          </w:tcPr>
          <w:p w14:paraId="6073DD29"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Bell Park</w:t>
            </w:r>
          </w:p>
        </w:tc>
      </w:tr>
      <w:tr w:rsidR="00922098" w:rsidRPr="00754A36" w14:paraId="7FBF3A5D"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6D1B0F7D"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422E27F2"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Bell Post Hill</w:t>
            </w:r>
          </w:p>
        </w:tc>
      </w:tr>
      <w:tr w:rsidR="00922098" w:rsidRPr="00754A36" w14:paraId="4F9D082E"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662EFE9D"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33EABE8D"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North Geelong</w:t>
            </w:r>
          </w:p>
        </w:tc>
      </w:tr>
      <w:tr w:rsidR="00922098" w:rsidRPr="00754A36" w14:paraId="6694842C" w14:textId="77777777" w:rsidTr="0080045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564FA833"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48F47E0D"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Rippleside</w:t>
            </w:r>
          </w:p>
        </w:tc>
      </w:tr>
      <w:tr w:rsidR="00922098" w:rsidRPr="00754A36" w14:paraId="7D08717A"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F2CEED" w:themeFill="accent5" w:themeFillTint="33"/>
          </w:tcPr>
          <w:p w14:paraId="6A9F88D0"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12</w:t>
            </w:r>
          </w:p>
        </w:tc>
        <w:tc>
          <w:tcPr>
            <w:tcW w:w="5861" w:type="dxa"/>
            <w:hideMark/>
          </w:tcPr>
          <w:p w14:paraId="055084EF"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Fyansford</w:t>
            </w:r>
          </w:p>
        </w:tc>
      </w:tr>
      <w:tr w:rsidR="00922098" w:rsidRPr="00754A36" w14:paraId="7CAD1A85"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tcPr>
          <w:p w14:paraId="47F65F6A"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1B7365B"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Hamlyn Heights</w:t>
            </w:r>
          </w:p>
        </w:tc>
      </w:tr>
      <w:tr w:rsidR="00922098" w:rsidRPr="00754A36" w14:paraId="65A9C0F2" w14:textId="77777777" w:rsidTr="0080045B">
        <w:trPr>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F2CEED" w:themeFill="accent5" w:themeFillTint="33"/>
          </w:tcPr>
          <w:p w14:paraId="17DF5BE0"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6ED46814"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Herne Hill</w:t>
            </w:r>
          </w:p>
        </w:tc>
      </w:tr>
      <w:tr w:rsidR="00922098" w:rsidRPr="00754A36" w14:paraId="5F4C9F4D"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auto"/>
          </w:tcPr>
          <w:p w14:paraId="3C5C0384"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13</w:t>
            </w:r>
          </w:p>
        </w:tc>
        <w:tc>
          <w:tcPr>
            <w:tcW w:w="5861" w:type="dxa"/>
            <w:hideMark/>
          </w:tcPr>
          <w:p w14:paraId="30FFC59B"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Corio</w:t>
            </w:r>
          </w:p>
        </w:tc>
      </w:tr>
      <w:tr w:rsidR="00922098" w:rsidRPr="00754A36" w14:paraId="78C3B586"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19883E91"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1AD5023E"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Norlane</w:t>
            </w:r>
          </w:p>
        </w:tc>
      </w:tr>
      <w:tr w:rsidR="00922098" w:rsidRPr="00754A36" w14:paraId="54EC5CC7" w14:textId="77777777" w:rsidTr="0080045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0717CDF2"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37445E8F"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North Shore</w:t>
            </w:r>
          </w:p>
        </w:tc>
      </w:tr>
      <w:tr w:rsidR="00922098" w:rsidRPr="00754A36" w14:paraId="3D641285" w14:textId="77777777" w:rsidTr="0080045B">
        <w:trPr>
          <w:trHeight w:val="360"/>
        </w:trPr>
        <w:tc>
          <w:tcPr>
            <w:cnfStyle w:val="001000000000" w:firstRow="0" w:lastRow="0" w:firstColumn="1" w:lastColumn="0" w:oddVBand="0" w:evenVBand="0" w:oddHBand="0" w:evenHBand="0" w:firstRowFirstColumn="0" w:firstRowLastColumn="0" w:lastRowFirstColumn="0" w:lastRowLastColumn="0"/>
            <w:tcW w:w="699" w:type="dxa"/>
            <w:shd w:val="clear" w:color="auto" w:fill="F2CEED" w:themeFill="accent5" w:themeFillTint="33"/>
          </w:tcPr>
          <w:p w14:paraId="0AB02D6A"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14</w:t>
            </w:r>
          </w:p>
        </w:tc>
        <w:tc>
          <w:tcPr>
            <w:tcW w:w="5861" w:type="dxa"/>
            <w:hideMark/>
          </w:tcPr>
          <w:p w14:paraId="23CAFD4C"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Lara</w:t>
            </w:r>
          </w:p>
        </w:tc>
      </w:tr>
      <w:tr w:rsidR="00922098" w:rsidRPr="00754A36" w14:paraId="6EA97DE8"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val="restart"/>
            <w:shd w:val="clear" w:color="auto" w:fill="auto"/>
          </w:tcPr>
          <w:p w14:paraId="43273DDA" w14:textId="77777777" w:rsidR="00922098" w:rsidRPr="00754A36" w:rsidRDefault="00922098" w:rsidP="0080045B">
            <w:pPr>
              <w:jc w:val="center"/>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15</w:t>
            </w:r>
          </w:p>
        </w:tc>
        <w:tc>
          <w:tcPr>
            <w:tcW w:w="5861" w:type="dxa"/>
            <w:hideMark/>
          </w:tcPr>
          <w:p w14:paraId="537C9D40"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Anakie</w:t>
            </w:r>
          </w:p>
        </w:tc>
      </w:tr>
      <w:tr w:rsidR="00922098" w:rsidRPr="00754A36" w14:paraId="440A7056"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77502F6E"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A387C6E"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Avalon</w:t>
            </w:r>
          </w:p>
        </w:tc>
      </w:tr>
      <w:tr w:rsidR="00922098" w:rsidRPr="00754A36" w14:paraId="7E9513F0"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5F846E0E"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767EEE9E"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Balliang</w:t>
            </w:r>
          </w:p>
        </w:tc>
      </w:tr>
      <w:tr w:rsidR="00922098" w:rsidRPr="00754A36" w14:paraId="0E1776E3"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382AD7CC"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EA57F74"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Batesford</w:t>
            </w:r>
          </w:p>
        </w:tc>
      </w:tr>
      <w:tr w:rsidR="00922098" w:rsidRPr="00754A36" w14:paraId="07CF1F30"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35388B9A"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55506212"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Little River</w:t>
            </w:r>
          </w:p>
        </w:tc>
      </w:tr>
      <w:tr w:rsidR="00922098" w:rsidRPr="00754A36" w14:paraId="4489B007" w14:textId="77777777" w:rsidTr="0080045B">
        <w:trPr>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2FEC3554"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13C69689"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Lovely Banks</w:t>
            </w:r>
          </w:p>
        </w:tc>
      </w:tr>
      <w:tr w:rsidR="00922098" w:rsidRPr="00754A36" w14:paraId="52D9890A" w14:textId="77777777" w:rsidTr="008004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7132E777"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48E6A1C9" w14:textId="77777777" w:rsidR="00922098" w:rsidRPr="00754A36" w:rsidRDefault="00922098" w:rsidP="0080045B">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Moorabool</w:t>
            </w:r>
          </w:p>
        </w:tc>
      </w:tr>
      <w:tr w:rsidR="00922098" w:rsidRPr="00754A36" w14:paraId="19249CE2" w14:textId="77777777" w:rsidTr="0080045B">
        <w:trPr>
          <w:trHeight w:val="360"/>
        </w:trPr>
        <w:tc>
          <w:tcPr>
            <w:cnfStyle w:val="001000000000" w:firstRow="0" w:lastRow="0" w:firstColumn="1" w:lastColumn="0" w:oddVBand="0" w:evenVBand="0" w:oddHBand="0" w:evenHBand="0" w:firstRowFirstColumn="0" w:firstRowLastColumn="0" w:lastRowFirstColumn="0" w:lastRowLastColumn="0"/>
            <w:tcW w:w="699" w:type="dxa"/>
            <w:vMerge/>
            <w:shd w:val="clear" w:color="auto" w:fill="auto"/>
          </w:tcPr>
          <w:p w14:paraId="7E6B297C" w14:textId="77777777" w:rsidR="00922098" w:rsidRPr="00754A36" w:rsidRDefault="00922098" w:rsidP="0080045B">
            <w:pPr>
              <w:rPr>
                <w:rFonts w:ascii="Century Gothic" w:eastAsia="Times New Roman" w:hAnsi="Century Gothic" w:cs="Arial"/>
                <w:sz w:val="24"/>
                <w:szCs w:val="24"/>
                <w:lang w:eastAsia="en-AU"/>
              </w:rPr>
            </w:pPr>
          </w:p>
        </w:tc>
        <w:tc>
          <w:tcPr>
            <w:tcW w:w="5861" w:type="dxa"/>
            <w:hideMark/>
          </w:tcPr>
          <w:p w14:paraId="7023669E" w14:textId="77777777" w:rsidR="00922098" w:rsidRPr="00754A36" w:rsidRDefault="00922098" w:rsidP="0080045B">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sz w:val="24"/>
                <w:szCs w:val="24"/>
                <w:lang w:eastAsia="en-AU"/>
              </w:rPr>
            </w:pPr>
            <w:r w:rsidRPr="00754A36">
              <w:rPr>
                <w:rFonts w:ascii="Century Gothic" w:eastAsia="Times New Roman" w:hAnsi="Century Gothic" w:cs="Arial"/>
                <w:sz w:val="24"/>
                <w:szCs w:val="24"/>
                <w:lang w:eastAsia="en-AU"/>
              </w:rPr>
              <w:t>Staughton Vale</w:t>
            </w:r>
          </w:p>
        </w:tc>
      </w:tr>
    </w:tbl>
    <w:p w14:paraId="4B7C8F1C" w14:textId="77777777" w:rsidR="00922098" w:rsidRDefault="00922098" w:rsidP="00922098"/>
    <w:p w14:paraId="10A71688" w14:textId="77777777" w:rsidR="00922098" w:rsidRDefault="00922098" w:rsidP="00922098"/>
    <w:p w14:paraId="370B3216" w14:textId="77777777" w:rsidR="0080045B" w:rsidRDefault="0080045B" w:rsidP="00922098">
      <w:pPr>
        <w:sectPr w:rsidR="0080045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364BC8C7" w14:textId="751F4611" w:rsidR="00922098" w:rsidRDefault="0080045B" w:rsidP="0080045B">
      <w:pPr>
        <w:pStyle w:val="Heading1"/>
      </w:pPr>
      <w:bookmarkStart w:id="42" w:name="_Toc195192725"/>
      <w:r>
        <w:lastRenderedPageBreak/>
        <w:t>Key Indicators</w:t>
      </w:r>
      <w:bookmarkEnd w:id="42"/>
    </w:p>
    <w:p w14:paraId="4952353D" w14:textId="64E826BF" w:rsidR="0080045B" w:rsidRPr="0080045B" w:rsidRDefault="0080045B" w:rsidP="0080045B">
      <w:pPr>
        <w:spacing w:before="120" w:after="0" w:line="276" w:lineRule="auto"/>
        <w:rPr>
          <w:rFonts w:ascii="Avenir 65" w:eastAsia="Times New Roman" w:hAnsi="Avenir 65" w:cs="Times New Roman"/>
          <w:kern w:val="0"/>
          <w:szCs w:val="20"/>
          <w14:ligatures w14:val="none"/>
        </w:rPr>
      </w:pPr>
      <w:r w:rsidRPr="0080045B">
        <w:rPr>
          <w:rFonts w:ascii="Avenir 65" w:eastAsia="Times New Roman" w:hAnsi="Avenir 65" w:cs="Times New Roman"/>
          <w:kern w:val="0"/>
          <w:szCs w:val="20"/>
          <w14:ligatures w14:val="none"/>
        </w:rPr>
        <w:t xml:space="preserve">In the following tables the key indicators are shown by demographics and </w:t>
      </w:r>
      <w:r w:rsidRPr="0007053D">
        <w:rPr>
          <w:rFonts w:ascii="Avenir 65" w:eastAsia="Times New Roman" w:hAnsi="Avenir 65" w:cs="Times New Roman"/>
          <w:kern w:val="0"/>
          <w:szCs w:val="20"/>
          <w14:ligatures w14:val="none"/>
        </w:rPr>
        <w:t>Planning Area</w:t>
      </w:r>
      <w:r w:rsidRPr="0080045B">
        <w:rPr>
          <w:rFonts w:ascii="Avenir 65" w:eastAsia="Times New Roman" w:hAnsi="Avenir 65" w:cs="Times New Roman"/>
          <w:kern w:val="0"/>
          <w:szCs w:val="20"/>
          <w14:ligatures w14:val="none"/>
        </w:rPr>
        <w:t xml:space="preserve">. </w:t>
      </w:r>
      <w:r w:rsidRPr="0007053D">
        <w:rPr>
          <w:rFonts w:ascii="Avenir 65" w:eastAsia="Times New Roman" w:hAnsi="Avenir 65" w:cs="Times New Roman"/>
          <w:color w:val="0B769F" w:themeColor="accent4" w:themeShade="BF"/>
          <w:kern w:val="0"/>
          <w:szCs w:val="20"/>
          <w14:ligatures w14:val="none"/>
        </w:rPr>
        <w:t xml:space="preserve">Darker teal cells </w:t>
      </w:r>
      <w:r w:rsidRPr="0080045B">
        <w:rPr>
          <w:rFonts w:ascii="Avenir 65" w:eastAsia="Times New Roman" w:hAnsi="Avenir 65" w:cs="Times New Roman"/>
          <w:kern w:val="0"/>
          <w:szCs w:val="20"/>
          <w14:ligatures w14:val="none"/>
        </w:rPr>
        <w:t xml:space="preserve">show a result that is statistically higher when compared to the corresponding </w:t>
      </w:r>
      <w:r w:rsidRPr="0007053D">
        <w:rPr>
          <w:rFonts w:ascii="Avenir 65" w:eastAsia="Times New Roman" w:hAnsi="Avenir 65" w:cs="Times New Roman"/>
          <w:color w:val="FF0000"/>
          <w:kern w:val="0"/>
          <w:szCs w:val="20"/>
          <w14:ligatures w14:val="none"/>
        </w:rPr>
        <w:t xml:space="preserve">red cell </w:t>
      </w:r>
      <w:r w:rsidRPr="0080045B">
        <w:rPr>
          <w:rFonts w:ascii="Avenir 65" w:eastAsia="Times New Roman" w:hAnsi="Avenir 65" w:cs="Times New Roman"/>
          <w:kern w:val="0"/>
          <w:szCs w:val="20"/>
          <w14:ligatures w14:val="none"/>
        </w:rPr>
        <w:t>within each demographic category (e.g., a higher proportion of females (55%) compared to males (49%)).</w:t>
      </w:r>
    </w:p>
    <w:tbl>
      <w:tblPr>
        <w:tblStyle w:val="GridTable2-Accent11"/>
        <w:tblW w:w="16160" w:type="dxa"/>
        <w:tblInd w:w="-284" w:type="dxa"/>
        <w:tblLayout w:type="fixed"/>
        <w:tblLook w:val="04A0" w:firstRow="1" w:lastRow="0" w:firstColumn="1" w:lastColumn="0" w:noHBand="0" w:noVBand="1"/>
        <w:tblCaption w:val="Indicator table"/>
        <w:tblDescription w:val="Shows result for each indicator broken out by gender, age and planning area, as well as colour coding to show where variations are statistically significant."/>
      </w:tblPr>
      <w:tblGrid>
        <w:gridCol w:w="1560"/>
        <w:gridCol w:w="629"/>
        <w:gridCol w:w="41"/>
        <w:gridCol w:w="728"/>
        <w:gridCol w:w="630"/>
        <w:gridCol w:w="665"/>
        <w:gridCol w:w="681"/>
        <w:gridCol w:w="629"/>
        <w:gridCol w:w="6"/>
        <w:gridCol w:w="623"/>
        <w:gridCol w:w="12"/>
        <w:gridCol w:w="617"/>
        <w:gridCol w:w="18"/>
        <w:gridCol w:w="610"/>
        <w:gridCol w:w="25"/>
        <w:gridCol w:w="634"/>
        <w:gridCol w:w="86"/>
        <w:gridCol w:w="549"/>
        <w:gridCol w:w="80"/>
        <w:gridCol w:w="555"/>
        <w:gridCol w:w="74"/>
        <w:gridCol w:w="561"/>
        <w:gridCol w:w="67"/>
        <w:gridCol w:w="567"/>
        <w:gridCol w:w="62"/>
        <w:gridCol w:w="573"/>
        <w:gridCol w:w="56"/>
        <w:gridCol w:w="579"/>
        <w:gridCol w:w="49"/>
        <w:gridCol w:w="586"/>
        <w:gridCol w:w="43"/>
        <w:gridCol w:w="592"/>
        <w:gridCol w:w="37"/>
        <w:gridCol w:w="597"/>
        <w:gridCol w:w="32"/>
        <w:gridCol w:w="603"/>
        <w:gridCol w:w="25"/>
        <w:gridCol w:w="614"/>
        <w:gridCol w:w="15"/>
        <w:gridCol w:w="483"/>
        <w:gridCol w:w="567"/>
      </w:tblGrid>
      <w:tr w:rsidR="00A33EBF" w:rsidRPr="0080045B" w14:paraId="02DB9C4C" w14:textId="77777777" w:rsidTr="0007053D">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1560" w:type="dxa"/>
          </w:tcPr>
          <w:p w14:paraId="71D1504E" w14:textId="77777777" w:rsidR="0080045B" w:rsidRPr="0080045B" w:rsidRDefault="0080045B" w:rsidP="0080045B">
            <w:pPr>
              <w:spacing w:before="40" w:after="40"/>
              <w:rPr>
                <w:rFonts w:ascii="Avenir 65" w:hAnsi="Avenir 65" w:cs="Times New Roman"/>
              </w:rPr>
            </w:pPr>
            <w:r w:rsidRPr="0080045B">
              <w:rPr>
                <w:rFonts w:ascii="Avenir 65" w:hAnsi="Avenir 65" w:cs="Times New Roman"/>
              </w:rPr>
              <w:t>Indicator</w:t>
            </w:r>
          </w:p>
        </w:tc>
        <w:tc>
          <w:tcPr>
            <w:tcW w:w="670" w:type="dxa"/>
            <w:gridSpan w:val="2"/>
            <w:vAlign w:val="bottom"/>
          </w:tcPr>
          <w:p w14:paraId="0602B6CD"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4"/>
                <w:szCs w:val="14"/>
              </w:rPr>
            </w:pPr>
            <w:r w:rsidRPr="0080045B">
              <w:rPr>
                <w:rFonts w:ascii="Avenir 65" w:hAnsi="Avenir 65" w:cs="Times New Roman"/>
                <w:sz w:val="14"/>
                <w:szCs w:val="14"/>
              </w:rPr>
              <w:t>2021</w:t>
            </w:r>
          </w:p>
        </w:tc>
        <w:tc>
          <w:tcPr>
            <w:tcW w:w="728" w:type="dxa"/>
            <w:vAlign w:val="bottom"/>
          </w:tcPr>
          <w:p w14:paraId="312B90B1"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4"/>
                <w:szCs w:val="14"/>
              </w:rPr>
            </w:pPr>
            <w:r w:rsidRPr="0080045B">
              <w:rPr>
                <w:rFonts w:ascii="Avenir 65" w:hAnsi="Avenir 65" w:cs="Times New Roman"/>
                <w:sz w:val="14"/>
                <w:szCs w:val="14"/>
              </w:rPr>
              <w:t>2024</w:t>
            </w:r>
          </w:p>
        </w:tc>
        <w:tc>
          <w:tcPr>
            <w:tcW w:w="630" w:type="dxa"/>
            <w:tcBorders>
              <w:right w:val="single" w:sz="18" w:space="0" w:color="254247"/>
            </w:tcBorders>
            <w:vAlign w:val="bottom"/>
          </w:tcPr>
          <w:p w14:paraId="6F5AB54F"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4"/>
                <w:szCs w:val="14"/>
              </w:rPr>
            </w:pPr>
            <w:r w:rsidRPr="0080045B">
              <w:rPr>
                <w:rFonts w:ascii="Avenir 65" w:hAnsi="Avenir 65" w:cs="Times New Roman"/>
                <w:sz w:val="14"/>
                <w:szCs w:val="14"/>
              </w:rPr>
              <w:t>Trend</w:t>
            </w:r>
          </w:p>
        </w:tc>
        <w:tc>
          <w:tcPr>
            <w:tcW w:w="665" w:type="dxa"/>
            <w:tcBorders>
              <w:left w:val="single" w:sz="18" w:space="0" w:color="254247"/>
            </w:tcBorders>
            <w:vAlign w:val="bottom"/>
          </w:tcPr>
          <w:p w14:paraId="05EA7DD5"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M</w:t>
            </w:r>
          </w:p>
        </w:tc>
        <w:tc>
          <w:tcPr>
            <w:tcW w:w="681" w:type="dxa"/>
            <w:tcBorders>
              <w:right w:val="single" w:sz="18" w:space="0" w:color="254247"/>
            </w:tcBorders>
            <w:vAlign w:val="bottom"/>
          </w:tcPr>
          <w:p w14:paraId="0FE9F7AC"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F</w:t>
            </w:r>
          </w:p>
        </w:tc>
        <w:tc>
          <w:tcPr>
            <w:tcW w:w="629" w:type="dxa"/>
            <w:tcBorders>
              <w:left w:val="single" w:sz="18" w:space="0" w:color="254247"/>
            </w:tcBorders>
            <w:vAlign w:val="bottom"/>
          </w:tcPr>
          <w:p w14:paraId="1DCF4A2B"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&lt;35</w:t>
            </w:r>
          </w:p>
        </w:tc>
        <w:tc>
          <w:tcPr>
            <w:tcW w:w="629" w:type="dxa"/>
            <w:gridSpan w:val="2"/>
            <w:vAlign w:val="bottom"/>
          </w:tcPr>
          <w:p w14:paraId="345D0E71"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35-54</w:t>
            </w:r>
          </w:p>
        </w:tc>
        <w:tc>
          <w:tcPr>
            <w:tcW w:w="629" w:type="dxa"/>
            <w:gridSpan w:val="2"/>
            <w:tcBorders>
              <w:right w:val="single" w:sz="18" w:space="0" w:color="254247"/>
            </w:tcBorders>
            <w:vAlign w:val="bottom"/>
          </w:tcPr>
          <w:p w14:paraId="70FFCF14"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55+</w:t>
            </w:r>
          </w:p>
        </w:tc>
        <w:tc>
          <w:tcPr>
            <w:tcW w:w="628" w:type="dxa"/>
            <w:gridSpan w:val="2"/>
            <w:tcBorders>
              <w:left w:val="single" w:sz="18" w:space="0" w:color="254247"/>
            </w:tcBorders>
            <w:vAlign w:val="bottom"/>
          </w:tcPr>
          <w:p w14:paraId="20B81DCA"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1</w:t>
            </w:r>
          </w:p>
        </w:tc>
        <w:tc>
          <w:tcPr>
            <w:tcW w:w="745" w:type="dxa"/>
            <w:gridSpan w:val="3"/>
            <w:vAlign w:val="bottom"/>
          </w:tcPr>
          <w:p w14:paraId="525B9B09"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2</w:t>
            </w:r>
          </w:p>
        </w:tc>
        <w:tc>
          <w:tcPr>
            <w:tcW w:w="629" w:type="dxa"/>
            <w:gridSpan w:val="2"/>
            <w:vAlign w:val="bottom"/>
          </w:tcPr>
          <w:p w14:paraId="1F577B24"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3</w:t>
            </w:r>
          </w:p>
        </w:tc>
        <w:tc>
          <w:tcPr>
            <w:tcW w:w="629" w:type="dxa"/>
            <w:gridSpan w:val="2"/>
            <w:vAlign w:val="bottom"/>
          </w:tcPr>
          <w:p w14:paraId="7A1BE9DE"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4</w:t>
            </w:r>
          </w:p>
        </w:tc>
        <w:tc>
          <w:tcPr>
            <w:tcW w:w="628" w:type="dxa"/>
            <w:gridSpan w:val="2"/>
            <w:vAlign w:val="bottom"/>
          </w:tcPr>
          <w:p w14:paraId="1BE7E907"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5</w:t>
            </w:r>
          </w:p>
        </w:tc>
        <w:tc>
          <w:tcPr>
            <w:tcW w:w="629" w:type="dxa"/>
            <w:gridSpan w:val="2"/>
            <w:vAlign w:val="bottom"/>
          </w:tcPr>
          <w:p w14:paraId="2AE3834B"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6</w:t>
            </w:r>
          </w:p>
        </w:tc>
        <w:tc>
          <w:tcPr>
            <w:tcW w:w="629" w:type="dxa"/>
            <w:gridSpan w:val="2"/>
            <w:vAlign w:val="bottom"/>
          </w:tcPr>
          <w:p w14:paraId="75308E3D"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7</w:t>
            </w:r>
          </w:p>
        </w:tc>
        <w:tc>
          <w:tcPr>
            <w:tcW w:w="628" w:type="dxa"/>
            <w:gridSpan w:val="2"/>
            <w:vAlign w:val="bottom"/>
          </w:tcPr>
          <w:p w14:paraId="62CDAAA0"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8</w:t>
            </w:r>
          </w:p>
        </w:tc>
        <w:tc>
          <w:tcPr>
            <w:tcW w:w="629" w:type="dxa"/>
            <w:gridSpan w:val="2"/>
            <w:vAlign w:val="bottom"/>
          </w:tcPr>
          <w:p w14:paraId="0717AEB2"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9</w:t>
            </w:r>
          </w:p>
        </w:tc>
        <w:tc>
          <w:tcPr>
            <w:tcW w:w="629" w:type="dxa"/>
            <w:gridSpan w:val="2"/>
            <w:vAlign w:val="bottom"/>
          </w:tcPr>
          <w:p w14:paraId="32958BBA"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10</w:t>
            </w:r>
          </w:p>
        </w:tc>
        <w:tc>
          <w:tcPr>
            <w:tcW w:w="629" w:type="dxa"/>
            <w:gridSpan w:val="2"/>
            <w:vAlign w:val="bottom"/>
          </w:tcPr>
          <w:p w14:paraId="2E1E26BA"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11</w:t>
            </w:r>
          </w:p>
        </w:tc>
        <w:tc>
          <w:tcPr>
            <w:tcW w:w="628" w:type="dxa"/>
            <w:gridSpan w:val="2"/>
            <w:vAlign w:val="bottom"/>
          </w:tcPr>
          <w:p w14:paraId="55C08456"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12</w:t>
            </w:r>
          </w:p>
        </w:tc>
        <w:tc>
          <w:tcPr>
            <w:tcW w:w="629" w:type="dxa"/>
            <w:gridSpan w:val="2"/>
            <w:vAlign w:val="bottom"/>
          </w:tcPr>
          <w:p w14:paraId="55A1BE1E"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13</w:t>
            </w:r>
          </w:p>
        </w:tc>
        <w:tc>
          <w:tcPr>
            <w:tcW w:w="483" w:type="dxa"/>
            <w:vAlign w:val="bottom"/>
          </w:tcPr>
          <w:p w14:paraId="39076DCC"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14</w:t>
            </w:r>
          </w:p>
        </w:tc>
        <w:tc>
          <w:tcPr>
            <w:tcW w:w="567" w:type="dxa"/>
            <w:tcBorders>
              <w:right w:val="single" w:sz="12" w:space="0" w:color="8BBAC3"/>
            </w:tcBorders>
            <w:vAlign w:val="bottom"/>
          </w:tcPr>
          <w:p w14:paraId="6D0C1056" w14:textId="77777777" w:rsidR="0080045B" w:rsidRPr="0080045B" w:rsidRDefault="0080045B" w:rsidP="0080045B">
            <w:pPr>
              <w:jc w:val="center"/>
              <w:cnfStyle w:val="100000000000" w:firstRow="1" w:lastRow="0" w:firstColumn="0" w:lastColumn="0" w:oddVBand="0" w:evenVBand="0" w:oddHBand="0" w:evenHBand="0" w:firstRowFirstColumn="0" w:firstRowLastColumn="0" w:lastRowFirstColumn="0" w:lastRowLastColumn="0"/>
              <w:rPr>
                <w:rFonts w:ascii="Avenir 65" w:hAnsi="Avenir 65" w:cs="Times New Roman"/>
                <w:sz w:val="16"/>
              </w:rPr>
            </w:pPr>
            <w:r w:rsidRPr="0080045B">
              <w:rPr>
                <w:rFonts w:ascii="Avenir 65" w:hAnsi="Avenir 65" w:cs="Times New Roman"/>
                <w:sz w:val="16"/>
              </w:rPr>
              <w:t>15</w:t>
            </w:r>
          </w:p>
        </w:tc>
      </w:tr>
      <w:tr w:rsidR="00A33EBF" w:rsidRPr="0007053D" w14:paraId="546FA46A"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3E07B633"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Self-reported health excellent / very good</w:t>
            </w:r>
          </w:p>
        </w:tc>
        <w:tc>
          <w:tcPr>
            <w:tcW w:w="670" w:type="dxa"/>
            <w:gridSpan w:val="2"/>
            <w:vAlign w:val="center"/>
          </w:tcPr>
          <w:p w14:paraId="48E58AE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sz w:val="18"/>
                <w:szCs w:val="18"/>
              </w:rPr>
              <w:t>54%</w:t>
            </w:r>
          </w:p>
        </w:tc>
        <w:tc>
          <w:tcPr>
            <w:tcW w:w="728" w:type="dxa"/>
            <w:vAlign w:val="center"/>
          </w:tcPr>
          <w:p w14:paraId="290EE8F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30" w:type="dxa"/>
            <w:tcBorders>
              <w:right w:val="single" w:sz="18" w:space="0" w:color="254247"/>
            </w:tcBorders>
            <w:vAlign w:val="center"/>
          </w:tcPr>
          <w:p w14:paraId="3C0BD07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FF0000"/>
                <w:sz w:val="18"/>
                <w:szCs w:val="18"/>
              </w:rPr>
              <w:sym w:font="Wingdings" w:char="F0EA"/>
            </w:r>
          </w:p>
        </w:tc>
        <w:tc>
          <w:tcPr>
            <w:tcW w:w="665" w:type="dxa"/>
            <w:tcBorders>
              <w:left w:val="single" w:sz="18" w:space="0" w:color="254247"/>
            </w:tcBorders>
            <w:shd w:val="clear" w:color="auto" w:fill="F9CDC7"/>
            <w:vAlign w:val="center"/>
          </w:tcPr>
          <w:p w14:paraId="2C48B6A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49%</w:t>
            </w:r>
          </w:p>
        </w:tc>
        <w:tc>
          <w:tcPr>
            <w:tcW w:w="681" w:type="dxa"/>
            <w:tcBorders>
              <w:right w:val="single" w:sz="18" w:space="0" w:color="254247"/>
            </w:tcBorders>
            <w:shd w:val="clear" w:color="auto" w:fill="8BBAC3"/>
            <w:vAlign w:val="center"/>
          </w:tcPr>
          <w:p w14:paraId="7C92F2B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55%</w:t>
            </w:r>
          </w:p>
        </w:tc>
        <w:tc>
          <w:tcPr>
            <w:tcW w:w="629" w:type="dxa"/>
            <w:tcBorders>
              <w:left w:val="single" w:sz="18" w:space="0" w:color="254247"/>
            </w:tcBorders>
            <w:shd w:val="clear" w:color="auto" w:fill="8BBAC3"/>
            <w:vAlign w:val="center"/>
          </w:tcPr>
          <w:p w14:paraId="2C76211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60%</w:t>
            </w:r>
          </w:p>
        </w:tc>
        <w:tc>
          <w:tcPr>
            <w:tcW w:w="629" w:type="dxa"/>
            <w:gridSpan w:val="2"/>
            <w:shd w:val="clear" w:color="auto" w:fill="8BBAC3"/>
            <w:vAlign w:val="center"/>
          </w:tcPr>
          <w:p w14:paraId="4AE105B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57%</w:t>
            </w:r>
          </w:p>
        </w:tc>
        <w:tc>
          <w:tcPr>
            <w:tcW w:w="629" w:type="dxa"/>
            <w:gridSpan w:val="2"/>
            <w:tcBorders>
              <w:right w:val="single" w:sz="18" w:space="0" w:color="254247"/>
            </w:tcBorders>
            <w:shd w:val="clear" w:color="auto" w:fill="F9CDC7"/>
            <w:vAlign w:val="center"/>
          </w:tcPr>
          <w:p w14:paraId="35A50F7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41%</w:t>
            </w:r>
          </w:p>
        </w:tc>
        <w:tc>
          <w:tcPr>
            <w:tcW w:w="628" w:type="dxa"/>
            <w:gridSpan w:val="2"/>
            <w:tcBorders>
              <w:left w:val="single" w:sz="18" w:space="0" w:color="254247"/>
            </w:tcBorders>
            <w:vAlign w:val="center"/>
          </w:tcPr>
          <w:p w14:paraId="184EA40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43%</w:t>
            </w:r>
          </w:p>
        </w:tc>
        <w:tc>
          <w:tcPr>
            <w:tcW w:w="745" w:type="dxa"/>
            <w:gridSpan w:val="3"/>
            <w:shd w:val="clear" w:color="auto" w:fill="8BBAC3"/>
            <w:vAlign w:val="center"/>
          </w:tcPr>
          <w:p w14:paraId="1BF7F7B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66%</w:t>
            </w:r>
          </w:p>
        </w:tc>
        <w:tc>
          <w:tcPr>
            <w:tcW w:w="629" w:type="dxa"/>
            <w:gridSpan w:val="2"/>
            <w:vAlign w:val="center"/>
          </w:tcPr>
          <w:p w14:paraId="12E7DAE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49%</w:t>
            </w:r>
          </w:p>
        </w:tc>
        <w:tc>
          <w:tcPr>
            <w:tcW w:w="629" w:type="dxa"/>
            <w:gridSpan w:val="2"/>
            <w:vAlign w:val="center"/>
          </w:tcPr>
          <w:p w14:paraId="63C600E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49%</w:t>
            </w:r>
          </w:p>
        </w:tc>
        <w:tc>
          <w:tcPr>
            <w:tcW w:w="628" w:type="dxa"/>
            <w:gridSpan w:val="2"/>
            <w:vAlign w:val="center"/>
          </w:tcPr>
          <w:p w14:paraId="3E1D52B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29" w:type="dxa"/>
            <w:gridSpan w:val="2"/>
            <w:vAlign w:val="center"/>
          </w:tcPr>
          <w:p w14:paraId="05FC1F0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36%</w:t>
            </w:r>
          </w:p>
        </w:tc>
        <w:tc>
          <w:tcPr>
            <w:tcW w:w="629" w:type="dxa"/>
            <w:gridSpan w:val="2"/>
            <w:vAlign w:val="center"/>
          </w:tcPr>
          <w:p w14:paraId="343F783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55%</w:t>
            </w:r>
          </w:p>
        </w:tc>
        <w:tc>
          <w:tcPr>
            <w:tcW w:w="628" w:type="dxa"/>
            <w:gridSpan w:val="2"/>
            <w:vAlign w:val="center"/>
          </w:tcPr>
          <w:p w14:paraId="01F35E3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56%</w:t>
            </w:r>
          </w:p>
        </w:tc>
        <w:tc>
          <w:tcPr>
            <w:tcW w:w="629" w:type="dxa"/>
            <w:gridSpan w:val="2"/>
            <w:vAlign w:val="center"/>
          </w:tcPr>
          <w:p w14:paraId="707289C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58%</w:t>
            </w:r>
          </w:p>
        </w:tc>
        <w:tc>
          <w:tcPr>
            <w:tcW w:w="629" w:type="dxa"/>
            <w:gridSpan w:val="2"/>
            <w:shd w:val="clear" w:color="auto" w:fill="8BBAC3"/>
            <w:vAlign w:val="center"/>
          </w:tcPr>
          <w:p w14:paraId="751D2FD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66%</w:t>
            </w:r>
          </w:p>
        </w:tc>
        <w:tc>
          <w:tcPr>
            <w:tcW w:w="629" w:type="dxa"/>
            <w:gridSpan w:val="2"/>
            <w:vAlign w:val="center"/>
          </w:tcPr>
          <w:p w14:paraId="7BC0A4F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43%</w:t>
            </w:r>
          </w:p>
        </w:tc>
        <w:tc>
          <w:tcPr>
            <w:tcW w:w="628" w:type="dxa"/>
            <w:gridSpan w:val="2"/>
            <w:vAlign w:val="center"/>
          </w:tcPr>
          <w:p w14:paraId="2885868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56%</w:t>
            </w:r>
          </w:p>
        </w:tc>
        <w:tc>
          <w:tcPr>
            <w:tcW w:w="629" w:type="dxa"/>
            <w:gridSpan w:val="2"/>
            <w:shd w:val="clear" w:color="auto" w:fill="F9CDC7"/>
            <w:vAlign w:val="center"/>
          </w:tcPr>
          <w:p w14:paraId="25879B9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30%</w:t>
            </w:r>
          </w:p>
        </w:tc>
        <w:tc>
          <w:tcPr>
            <w:tcW w:w="483" w:type="dxa"/>
            <w:vAlign w:val="center"/>
          </w:tcPr>
          <w:p w14:paraId="5E6833C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56%</w:t>
            </w:r>
          </w:p>
        </w:tc>
        <w:tc>
          <w:tcPr>
            <w:tcW w:w="567" w:type="dxa"/>
            <w:tcBorders>
              <w:right w:val="single" w:sz="12" w:space="0" w:color="8BBAC3"/>
            </w:tcBorders>
            <w:vAlign w:val="center"/>
          </w:tcPr>
          <w:p w14:paraId="5E96A61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40%</w:t>
            </w:r>
          </w:p>
        </w:tc>
      </w:tr>
      <w:tr w:rsidR="0080045B" w:rsidRPr="0007053D" w14:paraId="329ACD6C"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5A035657"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Satisfaction with life (7-10/10)</w:t>
            </w:r>
          </w:p>
        </w:tc>
        <w:tc>
          <w:tcPr>
            <w:tcW w:w="670" w:type="dxa"/>
            <w:gridSpan w:val="2"/>
            <w:vAlign w:val="center"/>
          </w:tcPr>
          <w:p w14:paraId="4D142DA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sz w:val="18"/>
                <w:szCs w:val="18"/>
              </w:rPr>
              <w:t>85%</w:t>
            </w:r>
          </w:p>
        </w:tc>
        <w:tc>
          <w:tcPr>
            <w:tcW w:w="728" w:type="dxa"/>
            <w:vAlign w:val="center"/>
          </w:tcPr>
          <w:p w14:paraId="1A286F0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78%</w:t>
            </w:r>
          </w:p>
        </w:tc>
        <w:tc>
          <w:tcPr>
            <w:tcW w:w="630" w:type="dxa"/>
            <w:tcBorders>
              <w:right w:val="single" w:sz="18" w:space="0" w:color="254247"/>
            </w:tcBorders>
            <w:vAlign w:val="center"/>
          </w:tcPr>
          <w:p w14:paraId="1C37659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FF0000"/>
                <w:sz w:val="18"/>
                <w:szCs w:val="18"/>
              </w:rPr>
              <w:sym w:font="Wingdings" w:char="F0EA"/>
            </w:r>
          </w:p>
        </w:tc>
        <w:tc>
          <w:tcPr>
            <w:tcW w:w="665" w:type="dxa"/>
            <w:tcBorders>
              <w:left w:val="single" w:sz="18" w:space="0" w:color="254247"/>
            </w:tcBorders>
            <w:vAlign w:val="center"/>
          </w:tcPr>
          <w:p w14:paraId="144003E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78%</w:t>
            </w:r>
          </w:p>
        </w:tc>
        <w:tc>
          <w:tcPr>
            <w:tcW w:w="681" w:type="dxa"/>
            <w:tcBorders>
              <w:right w:val="single" w:sz="18" w:space="0" w:color="254247"/>
            </w:tcBorders>
            <w:vAlign w:val="center"/>
          </w:tcPr>
          <w:p w14:paraId="76E19BE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80%</w:t>
            </w:r>
          </w:p>
        </w:tc>
        <w:tc>
          <w:tcPr>
            <w:tcW w:w="629" w:type="dxa"/>
            <w:tcBorders>
              <w:left w:val="single" w:sz="18" w:space="0" w:color="254247"/>
            </w:tcBorders>
            <w:vAlign w:val="center"/>
          </w:tcPr>
          <w:p w14:paraId="48273D4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81%</w:t>
            </w:r>
          </w:p>
        </w:tc>
        <w:tc>
          <w:tcPr>
            <w:tcW w:w="629" w:type="dxa"/>
            <w:gridSpan w:val="2"/>
            <w:vAlign w:val="center"/>
          </w:tcPr>
          <w:p w14:paraId="246745A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76%</w:t>
            </w:r>
          </w:p>
        </w:tc>
        <w:tc>
          <w:tcPr>
            <w:tcW w:w="629" w:type="dxa"/>
            <w:gridSpan w:val="2"/>
            <w:tcBorders>
              <w:right w:val="single" w:sz="18" w:space="0" w:color="254247"/>
            </w:tcBorders>
            <w:vAlign w:val="center"/>
          </w:tcPr>
          <w:p w14:paraId="28E7141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79%</w:t>
            </w:r>
          </w:p>
        </w:tc>
        <w:tc>
          <w:tcPr>
            <w:tcW w:w="628" w:type="dxa"/>
            <w:gridSpan w:val="2"/>
            <w:tcBorders>
              <w:left w:val="single" w:sz="18" w:space="0" w:color="254247"/>
            </w:tcBorders>
            <w:vAlign w:val="center"/>
          </w:tcPr>
          <w:p w14:paraId="43FAB80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74%</w:t>
            </w:r>
          </w:p>
        </w:tc>
        <w:tc>
          <w:tcPr>
            <w:tcW w:w="745" w:type="dxa"/>
            <w:gridSpan w:val="3"/>
            <w:shd w:val="clear" w:color="auto" w:fill="8BBAC3"/>
            <w:vAlign w:val="center"/>
          </w:tcPr>
          <w:p w14:paraId="0473DB0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88%</w:t>
            </w:r>
          </w:p>
        </w:tc>
        <w:tc>
          <w:tcPr>
            <w:tcW w:w="629" w:type="dxa"/>
            <w:gridSpan w:val="2"/>
            <w:vAlign w:val="center"/>
          </w:tcPr>
          <w:p w14:paraId="6BA6BBF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82%</w:t>
            </w:r>
          </w:p>
        </w:tc>
        <w:tc>
          <w:tcPr>
            <w:tcW w:w="629" w:type="dxa"/>
            <w:gridSpan w:val="2"/>
            <w:vAlign w:val="center"/>
          </w:tcPr>
          <w:p w14:paraId="7685C87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81%</w:t>
            </w:r>
          </w:p>
        </w:tc>
        <w:tc>
          <w:tcPr>
            <w:tcW w:w="628" w:type="dxa"/>
            <w:gridSpan w:val="2"/>
            <w:vAlign w:val="center"/>
          </w:tcPr>
          <w:p w14:paraId="0567B5D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73%</w:t>
            </w:r>
          </w:p>
        </w:tc>
        <w:tc>
          <w:tcPr>
            <w:tcW w:w="629" w:type="dxa"/>
            <w:gridSpan w:val="2"/>
            <w:vAlign w:val="center"/>
          </w:tcPr>
          <w:p w14:paraId="76B7359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71%</w:t>
            </w:r>
          </w:p>
        </w:tc>
        <w:tc>
          <w:tcPr>
            <w:tcW w:w="629" w:type="dxa"/>
            <w:gridSpan w:val="2"/>
            <w:vAlign w:val="center"/>
          </w:tcPr>
          <w:p w14:paraId="6D8FEF2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83%</w:t>
            </w:r>
          </w:p>
        </w:tc>
        <w:tc>
          <w:tcPr>
            <w:tcW w:w="628" w:type="dxa"/>
            <w:gridSpan w:val="2"/>
            <w:vAlign w:val="center"/>
          </w:tcPr>
          <w:p w14:paraId="45D734A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82%</w:t>
            </w:r>
          </w:p>
        </w:tc>
        <w:tc>
          <w:tcPr>
            <w:tcW w:w="629" w:type="dxa"/>
            <w:gridSpan w:val="2"/>
            <w:vAlign w:val="center"/>
          </w:tcPr>
          <w:p w14:paraId="6C0B405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82%</w:t>
            </w:r>
          </w:p>
        </w:tc>
        <w:tc>
          <w:tcPr>
            <w:tcW w:w="629" w:type="dxa"/>
            <w:gridSpan w:val="2"/>
            <w:vAlign w:val="center"/>
          </w:tcPr>
          <w:p w14:paraId="06AFE50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77%</w:t>
            </w:r>
          </w:p>
        </w:tc>
        <w:tc>
          <w:tcPr>
            <w:tcW w:w="629" w:type="dxa"/>
            <w:gridSpan w:val="2"/>
            <w:vAlign w:val="center"/>
          </w:tcPr>
          <w:p w14:paraId="24F229F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73%</w:t>
            </w:r>
          </w:p>
        </w:tc>
        <w:tc>
          <w:tcPr>
            <w:tcW w:w="628" w:type="dxa"/>
            <w:gridSpan w:val="2"/>
            <w:shd w:val="clear" w:color="auto" w:fill="8BBAC3"/>
            <w:vAlign w:val="center"/>
          </w:tcPr>
          <w:p w14:paraId="7940BC3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88%</w:t>
            </w:r>
          </w:p>
        </w:tc>
        <w:tc>
          <w:tcPr>
            <w:tcW w:w="629" w:type="dxa"/>
            <w:gridSpan w:val="2"/>
            <w:shd w:val="clear" w:color="auto" w:fill="F9CDC7"/>
            <w:vAlign w:val="center"/>
          </w:tcPr>
          <w:p w14:paraId="4380D7B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59%</w:t>
            </w:r>
          </w:p>
        </w:tc>
        <w:tc>
          <w:tcPr>
            <w:tcW w:w="483" w:type="dxa"/>
            <w:vAlign w:val="center"/>
          </w:tcPr>
          <w:p w14:paraId="40DFF2E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80%</w:t>
            </w:r>
          </w:p>
        </w:tc>
        <w:tc>
          <w:tcPr>
            <w:tcW w:w="567" w:type="dxa"/>
            <w:tcBorders>
              <w:right w:val="single" w:sz="12" w:space="0" w:color="8BBAC3"/>
            </w:tcBorders>
            <w:vAlign w:val="center"/>
          </w:tcPr>
          <w:p w14:paraId="6A75571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80%</w:t>
            </w:r>
          </w:p>
        </w:tc>
      </w:tr>
      <w:tr w:rsidR="00A33EBF" w:rsidRPr="0007053D" w14:paraId="6517898A"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7C76752"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High to very high psychological distress</w:t>
            </w:r>
          </w:p>
        </w:tc>
        <w:tc>
          <w:tcPr>
            <w:tcW w:w="670" w:type="dxa"/>
            <w:gridSpan w:val="2"/>
            <w:vAlign w:val="center"/>
          </w:tcPr>
          <w:p w14:paraId="37D3B2B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Arial"/>
                <w:sz w:val="18"/>
                <w:szCs w:val="18"/>
              </w:rPr>
              <w:t>20%</w:t>
            </w:r>
          </w:p>
        </w:tc>
        <w:tc>
          <w:tcPr>
            <w:tcW w:w="728" w:type="dxa"/>
            <w:vAlign w:val="center"/>
          </w:tcPr>
          <w:p w14:paraId="4F7D09E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13%</w:t>
            </w:r>
          </w:p>
        </w:tc>
        <w:tc>
          <w:tcPr>
            <w:tcW w:w="630" w:type="dxa"/>
            <w:tcBorders>
              <w:right w:val="single" w:sz="18" w:space="0" w:color="254247"/>
            </w:tcBorders>
            <w:vAlign w:val="center"/>
          </w:tcPr>
          <w:p w14:paraId="0AF1A57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Arial"/>
                <w:color w:val="00B050"/>
                <w:sz w:val="18"/>
                <w:szCs w:val="18"/>
              </w:rPr>
              <w:sym w:font="Wingdings" w:char="F0EA"/>
            </w:r>
          </w:p>
        </w:tc>
        <w:tc>
          <w:tcPr>
            <w:tcW w:w="665" w:type="dxa"/>
            <w:tcBorders>
              <w:left w:val="single" w:sz="18" w:space="0" w:color="254247"/>
            </w:tcBorders>
            <w:shd w:val="clear" w:color="auto" w:fill="F9CDC7"/>
            <w:vAlign w:val="center"/>
          </w:tcPr>
          <w:p w14:paraId="7365385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10%</w:t>
            </w:r>
          </w:p>
        </w:tc>
        <w:tc>
          <w:tcPr>
            <w:tcW w:w="681" w:type="dxa"/>
            <w:tcBorders>
              <w:right w:val="single" w:sz="18" w:space="0" w:color="254247"/>
            </w:tcBorders>
            <w:shd w:val="clear" w:color="auto" w:fill="8BBAC3"/>
            <w:vAlign w:val="center"/>
          </w:tcPr>
          <w:p w14:paraId="0D30573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14%</w:t>
            </w:r>
          </w:p>
        </w:tc>
        <w:tc>
          <w:tcPr>
            <w:tcW w:w="629" w:type="dxa"/>
            <w:tcBorders>
              <w:left w:val="single" w:sz="18" w:space="0" w:color="254247"/>
            </w:tcBorders>
            <w:shd w:val="clear" w:color="auto" w:fill="8BBAC3"/>
            <w:vAlign w:val="center"/>
          </w:tcPr>
          <w:p w14:paraId="128E0C7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629" w:type="dxa"/>
            <w:gridSpan w:val="2"/>
            <w:vAlign w:val="center"/>
          </w:tcPr>
          <w:p w14:paraId="6E81931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14%</w:t>
            </w:r>
          </w:p>
        </w:tc>
        <w:tc>
          <w:tcPr>
            <w:tcW w:w="629" w:type="dxa"/>
            <w:gridSpan w:val="2"/>
            <w:tcBorders>
              <w:right w:val="single" w:sz="18" w:space="0" w:color="254247"/>
            </w:tcBorders>
            <w:shd w:val="clear" w:color="auto" w:fill="F9CDC7"/>
            <w:vAlign w:val="center"/>
          </w:tcPr>
          <w:p w14:paraId="7BF3B87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8%</w:t>
            </w:r>
          </w:p>
        </w:tc>
        <w:tc>
          <w:tcPr>
            <w:tcW w:w="628" w:type="dxa"/>
            <w:gridSpan w:val="2"/>
            <w:tcBorders>
              <w:left w:val="single" w:sz="18" w:space="0" w:color="254247"/>
            </w:tcBorders>
            <w:shd w:val="clear" w:color="auto" w:fill="8BBAC3"/>
            <w:vAlign w:val="center"/>
          </w:tcPr>
          <w:p w14:paraId="4FF947A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c>
          <w:tcPr>
            <w:tcW w:w="745" w:type="dxa"/>
            <w:gridSpan w:val="3"/>
            <w:shd w:val="clear" w:color="auto" w:fill="F9CDC7"/>
            <w:vAlign w:val="center"/>
          </w:tcPr>
          <w:p w14:paraId="293E02E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w:t>
            </w:r>
          </w:p>
        </w:tc>
        <w:tc>
          <w:tcPr>
            <w:tcW w:w="629" w:type="dxa"/>
            <w:gridSpan w:val="2"/>
            <w:vAlign w:val="center"/>
          </w:tcPr>
          <w:p w14:paraId="4B02CEE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c>
          <w:tcPr>
            <w:tcW w:w="629" w:type="dxa"/>
            <w:gridSpan w:val="2"/>
            <w:vAlign w:val="center"/>
          </w:tcPr>
          <w:p w14:paraId="45C781F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8%</w:t>
            </w:r>
          </w:p>
        </w:tc>
        <w:tc>
          <w:tcPr>
            <w:tcW w:w="628" w:type="dxa"/>
            <w:gridSpan w:val="2"/>
            <w:vAlign w:val="center"/>
          </w:tcPr>
          <w:p w14:paraId="11D13CE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11%</w:t>
            </w:r>
          </w:p>
        </w:tc>
        <w:tc>
          <w:tcPr>
            <w:tcW w:w="629" w:type="dxa"/>
            <w:gridSpan w:val="2"/>
            <w:vAlign w:val="center"/>
          </w:tcPr>
          <w:p w14:paraId="231ABD9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c>
          <w:tcPr>
            <w:tcW w:w="629" w:type="dxa"/>
            <w:gridSpan w:val="2"/>
            <w:vAlign w:val="center"/>
          </w:tcPr>
          <w:p w14:paraId="53E828D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13%</w:t>
            </w:r>
          </w:p>
        </w:tc>
        <w:tc>
          <w:tcPr>
            <w:tcW w:w="628" w:type="dxa"/>
            <w:gridSpan w:val="2"/>
            <w:vAlign w:val="center"/>
          </w:tcPr>
          <w:p w14:paraId="0C748C6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11%</w:t>
            </w:r>
          </w:p>
        </w:tc>
        <w:tc>
          <w:tcPr>
            <w:tcW w:w="629" w:type="dxa"/>
            <w:gridSpan w:val="2"/>
            <w:vAlign w:val="center"/>
          </w:tcPr>
          <w:p w14:paraId="6E3B881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13%</w:t>
            </w:r>
          </w:p>
        </w:tc>
        <w:tc>
          <w:tcPr>
            <w:tcW w:w="629" w:type="dxa"/>
            <w:gridSpan w:val="2"/>
            <w:vAlign w:val="center"/>
          </w:tcPr>
          <w:p w14:paraId="7CE09C1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9%</w:t>
            </w:r>
          </w:p>
        </w:tc>
        <w:tc>
          <w:tcPr>
            <w:tcW w:w="629" w:type="dxa"/>
            <w:gridSpan w:val="2"/>
            <w:vAlign w:val="center"/>
          </w:tcPr>
          <w:p w14:paraId="4FD01D8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19%</w:t>
            </w:r>
          </w:p>
        </w:tc>
        <w:tc>
          <w:tcPr>
            <w:tcW w:w="628" w:type="dxa"/>
            <w:gridSpan w:val="2"/>
            <w:vAlign w:val="center"/>
          </w:tcPr>
          <w:p w14:paraId="7E0AA14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w:t>
            </w:r>
          </w:p>
        </w:tc>
        <w:tc>
          <w:tcPr>
            <w:tcW w:w="629" w:type="dxa"/>
            <w:gridSpan w:val="2"/>
            <w:shd w:val="clear" w:color="auto" w:fill="8BBAC3"/>
            <w:vAlign w:val="center"/>
          </w:tcPr>
          <w:p w14:paraId="78DA390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483" w:type="dxa"/>
            <w:vAlign w:val="center"/>
          </w:tcPr>
          <w:p w14:paraId="66CB5EC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11%</w:t>
            </w:r>
          </w:p>
        </w:tc>
        <w:tc>
          <w:tcPr>
            <w:tcW w:w="567" w:type="dxa"/>
            <w:tcBorders>
              <w:right w:val="single" w:sz="12" w:space="0" w:color="8BBAC3"/>
            </w:tcBorders>
            <w:vAlign w:val="center"/>
          </w:tcPr>
          <w:p w14:paraId="23007F1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r>
      <w:tr w:rsidR="00A33EBF" w:rsidRPr="0007053D" w14:paraId="5DC8A52B"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53044F38"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Sought help for mental health</w:t>
            </w:r>
          </w:p>
        </w:tc>
        <w:tc>
          <w:tcPr>
            <w:tcW w:w="670" w:type="dxa"/>
            <w:gridSpan w:val="2"/>
            <w:vAlign w:val="center"/>
          </w:tcPr>
          <w:p w14:paraId="675FFA3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Arial"/>
                <w:sz w:val="18"/>
                <w:szCs w:val="18"/>
              </w:rPr>
              <w:t>20%</w:t>
            </w:r>
          </w:p>
        </w:tc>
        <w:tc>
          <w:tcPr>
            <w:tcW w:w="728" w:type="dxa"/>
            <w:vAlign w:val="center"/>
          </w:tcPr>
          <w:p w14:paraId="68103A1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30" w:type="dxa"/>
            <w:tcBorders>
              <w:right w:val="single" w:sz="18" w:space="0" w:color="254247"/>
            </w:tcBorders>
            <w:vAlign w:val="center"/>
          </w:tcPr>
          <w:p w14:paraId="5191AA8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Arial"/>
                <w:color w:val="00B050"/>
                <w:sz w:val="18"/>
                <w:szCs w:val="18"/>
              </w:rPr>
              <w:sym w:font="Wingdings" w:char="F0E9"/>
            </w:r>
          </w:p>
        </w:tc>
        <w:tc>
          <w:tcPr>
            <w:tcW w:w="665" w:type="dxa"/>
            <w:tcBorders>
              <w:left w:val="single" w:sz="18" w:space="0" w:color="254247"/>
            </w:tcBorders>
            <w:shd w:val="clear" w:color="auto" w:fill="F9CDC7"/>
            <w:vAlign w:val="center"/>
          </w:tcPr>
          <w:p w14:paraId="5C48920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681" w:type="dxa"/>
            <w:tcBorders>
              <w:right w:val="single" w:sz="18" w:space="0" w:color="254247"/>
            </w:tcBorders>
            <w:shd w:val="clear" w:color="auto" w:fill="8BBAC3"/>
            <w:vAlign w:val="center"/>
          </w:tcPr>
          <w:p w14:paraId="6717EAB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32%</w:t>
            </w:r>
          </w:p>
        </w:tc>
        <w:tc>
          <w:tcPr>
            <w:tcW w:w="629" w:type="dxa"/>
            <w:tcBorders>
              <w:left w:val="single" w:sz="18" w:space="0" w:color="254247"/>
            </w:tcBorders>
            <w:shd w:val="clear" w:color="auto" w:fill="8BBAC3"/>
            <w:vAlign w:val="center"/>
          </w:tcPr>
          <w:p w14:paraId="1B94613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35%</w:t>
            </w:r>
          </w:p>
        </w:tc>
        <w:tc>
          <w:tcPr>
            <w:tcW w:w="629" w:type="dxa"/>
            <w:gridSpan w:val="2"/>
            <w:vAlign w:val="center"/>
          </w:tcPr>
          <w:p w14:paraId="2661988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29" w:type="dxa"/>
            <w:gridSpan w:val="2"/>
            <w:tcBorders>
              <w:right w:val="single" w:sz="18" w:space="0" w:color="254247"/>
            </w:tcBorders>
            <w:shd w:val="clear" w:color="auto" w:fill="F9CDC7"/>
            <w:vAlign w:val="center"/>
          </w:tcPr>
          <w:p w14:paraId="092532F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14%</w:t>
            </w:r>
          </w:p>
        </w:tc>
        <w:tc>
          <w:tcPr>
            <w:tcW w:w="628" w:type="dxa"/>
            <w:gridSpan w:val="2"/>
            <w:tcBorders>
              <w:left w:val="single" w:sz="18" w:space="0" w:color="254247"/>
            </w:tcBorders>
            <w:shd w:val="clear" w:color="auto" w:fill="8BBAC3"/>
            <w:vAlign w:val="center"/>
          </w:tcPr>
          <w:p w14:paraId="7320B88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42%</w:t>
            </w:r>
          </w:p>
        </w:tc>
        <w:tc>
          <w:tcPr>
            <w:tcW w:w="745" w:type="dxa"/>
            <w:gridSpan w:val="3"/>
            <w:shd w:val="clear" w:color="auto" w:fill="F9CDC7"/>
            <w:vAlign w:val="center"/>
          </w:tcPr>
          <w:p w14:paraId="4953A62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629" w:type="dxa"/>
            <w:gridSpan w:val="2"/>
            <w:shd w:val="clear" w:color="auto" w:fill="F9CDC7"/>
            <w:vAlign w:val="center"/>
          </w:tcPr>
          <w:p w14:paraId="2919E5E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19%</w:t>
            </w:r>
          </w:p>
        </w:tc>
        <w:tc>
          <w:tcPr>
            <w:tcW w:w="629" w:type="dxa"/>
            <w:gridSpan w:val="2"/>
            <w:shd w:val="clear" w:color="auto" w:fill="F9CDC7"/>
            <w:vAlign w:val="center"/>
          </w:tcPr>
          <w:p w14:paraId="6196CB6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628" w:type="dxa"/>
            <w:gridSpan w:val="2"/>
            <w:vAlign w:val="center"/>
          </w:tcPr>
          <w:p w14:paraId="7106167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c>
          <w:tcPr>
            <w:tcW w:w="629" w:type="dxa"/>
            <w:gridSpan w:val="2"/>
            <w:vAlign w:val="center"/>
          </w:tcPr>
          <w:p w14:paraId="1199C51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32%</w:t>
            </w:r>
          </w:p>
        </w:tc>
        <w:tc>
          <w:tcPr>
            <w:tcW w:w="629" w:type="dxa"/>
            <w:gridSpan w:val="2"/>
            <w:shd w:val="clear" w:color="auto" w:fill="F9CDC7"/>
            <w:vAlign w:val="center"/>
          </w:tcPr>
          <w:p w14:paraId="532A59E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c>
          <w:tcPr>
            <w:tcW w:w="628" w:type="dxa"/>
            <w:gridSpan w:val="2"/>
            <w:vAlign w:val="center"/>
          </w:tcPr>
          <w:p w14:paraId="1AC87B6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29" w:type="dxa"/>
            <w:gridSpan w:val="2"/>
            <w:shd w:val="clear" w:color="auto" w:fill="F9CDC7"/>
            <w:vAlign w:val="center"/>
          </w:tcPr>
          <w:p w14:paraId="183372B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629" w:type="dxa"/>
            <w:gridSpan w:val="2"/>
            <w:shd w:val="clear" w:color="auto" w:fill="F9CDC7"/>
            <w:vAlign w:val="center"/>
          </w:tcPr>
          <w:p w14:paraId="08C3BA5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19%</w:t>
            </w:r>
          </w:p>
        </w:tc>
        <w:tc>
          <w:tcPr>
            <w:tcW w:w="629" w:type="dxa"/>
            <w:gridSpan w:val="2"/>
            <w:vAlign w:val="center"/>
          </w:tcPr>
          <w:p w14:paraId="57D0140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28" w:type="dxa"/>
            <w:gridSpan w:val="2"/>
            <w:vAlign w:val="center"/>
          </w:tcPr>
          <w:p w14:paraId="649D903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20%</w:t>
            </w:r>
          </w:p>
        </w:tc>
        <w:tc>
          <w:tcPr>
            <w:tcW w:w="629" w:type="dxa"/>
            <w:gridSpan w:val="2"/>
            <w:shd w:val="clear" w:color="auto" w:fill="8BBAC3"/>
            <w:vAlign w:val="center"/>
          </w:tcPr>
          <w:p w14:paraId="0BB2338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38%</w:t>
            </w:r>
          </w:p>
        </w:tc>
        <w:tc>
          <w:tcPr>
            <w:tcW w:w="483" w:type="dxa"/>
            <w:vAlign w:val="center"/>
          </w:tcPr>
          <w:p w14:paraId="4E6F4F3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567" w:type="dxa"/>
            <w:tcBorders>
              <w:right w:val="single" w:sz="12" w:space="0" w:color="8BBAC3"/>
            </w:tcBorders>
            <w:vAlign w:val="center"/>
          </w:tcPr>
          <w:p w14:paraId="1F3F631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r>
      <w:tr w:rsidR="00A33EBF" w:rsidRPr="0007053D" w14:paraId="2CD1D849" w14:textId="77777777" w:rsidTr="0007053D">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75755795"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Lonely</w:t>
            </w:r>
          </w:p>
        </w:tc>
        <w:tc>
          <w:tcPr>
            <w:tcW w:w="670" w:type="dxa"/>
            <w:gridSpan w:val="2"/>
            <w:vAlign w:val="center"/>
          </w:tcPr>
          <w:p w14:paraId="31ADDDB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p>
        </w:tc>
        <w:tc>
          <w:tcPr>
            <w:tcW w:w="728" w:type="dxa"/>
            <w:vAlign w:val="center"/>
          </w:tcPr>
          <w:p w14:paraId="761FDFF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25%</w:t>
            </w:r>
          </w:p>
        </w:tc>
        <w:tc>
          <w:tcPr>
            <w:tcW w:w="630" w:type="dxa"/>
            <w:tcBorders>
              <w:right w:val="single" w:sz="18" w:space="0" w:color="254247"/>
            </w:tcBorders>
            <w:vAlign w:val="center"/>
          </w:tcPr>
          <w:p w14:paraId="3FDF034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New</w:t>
            </w:r>
          </w:p>
        </w:tc>
        <w:tc>
          <w:tcPr>
            <w:tcW w:w="665" w:type="dxa"/>
            <w:tcBorders>
              <w:left w:val="single" w:sz="18" w:space="0" w:color="254247"/>
            </w:tcBorders>
            <w:vAlign w:val="center"/>
          </w:tcPr>
          <w:p w14:paraId="698EB0C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25%</w:t>
            </w:r>
          </w:p>
        </w:tc>
        <w:tc>
          <w:tcPr>
            <w:tcW w:w="681" w:type="dxa"/>
            <w:tcBorders>
              <w:right w:val="single" w:sz="18" w:space="0" w:color="254247"/>
            </w:tcBorders>
            <w:vAlign w:val="center"/>
          </w:tcPr>
          <w:p w14:paraId="221FF21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29" w:type="dxa"/>
            <w:tcBorders>
              <w:left w:val="single" w:sz="18" w:space="0" w:color="254247"/>
            </w:tcBorders>
            <w:shd w:val="clear" w:color="auto" w:fill="8BBAC3"/>
            <w:vAlign w:val="center"/>
          </w:tcPr>
          <w:p w14:paraId="3E985B7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31%</w:t>
            </w:r>
          </w:p>
        </w:tc>
        <w:tc>
          <w:tcPr>
            <w:tcW w:w="629" w:type="dxa"/>
            <w:gridSpan w:val="2"/>
            <w:vAlign w:val="center"/>
          </w:tcPr>
          <w:p w14:paraId="75F9B3A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29" w:type="dxa"/>
            <w:gridSpan w:val="2"/>
            <w:tcBorders>
              <w:right w:val="single" w:sz="18" w:space="0" w:color="254247"/>
            </w:tcBorders>
            <w:shd w:val="clear" w:color="auto" w:fill="F9CDC7"/>
            <w:vAlign w:val="center"/>
          </w:tcPr>
          <w:p w14:paraId="076DFC3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628" w:type="dxa"/>
            <w:gridSpan w:val="2"/>
            <w:tcBorders>
              <w:left w:val="single" w:sz="18" w:space="0" w:color="254247"/>
            </w:tcBorders>
            <w:shd w:val="clear" w:color="auto" w:fill="8BBAC3"/>
            <w:vAlign w:val="center"/>
          </w:tcPr>
          <w:p w14:paraId="2170944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42%</w:t>
            </w:r>
          </w:p>
        </w:tc>
        <w:tc>
          <w:tcPr>
            <w:tcW w:w="745" w:type="dxa"/>
            <w:gridSpan w:val="3"/>
            <w:shd w:val="clear" w:color="auto" w:fill="F9CDC7"/>
            <w:vAlign w:val="center"/>
          </w:tcPr>
          <w:p w14:paraId="76F555A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15%</w:t>
            </w:r>
          </w:p>
        </w:tc>
        <w:tc>
          <w:tcPr>
            <w:tcW w:w="629" w:type="dxa"/>
            <w:gridSpan w:val="2"/>
            <w:shd w:val="clear" w:color="auto" w:fill="F9CDC7"/>
            <w:vAlign w:val="center"/>
          </w:tcPr>
          <w:p w14:paraId="3CE332F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21%</w:t>
            </w:r>
          </w:p>
        </w:tc>
        <w:tc>
          <w:tcPr>
            <w:tcW w:w="629" w:type="dxa"/>
            <w:gridSpan w:val="2"/>
            <w:vAlign w:val="center"/>
          </w:tcPr>
          <w:p w14:paraId="73281FF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628" w:type="dxa"/>
            <w:gridSpan w:val="2"/>
            <w:shd w:val="clear" w:color="auto" w:fill="F9CDC7"/>
            <w:vAlign w:val="center"/>
          </w:tcPr>
          <w:p w14:paraId="655E99C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20%</w:t>
            </w:r>
          </w:p>
        </w:tc>
        <w:tc>
          <w:tcPr>
            <w:tcW w:w="629" w:type="dxa"/>
            <w:gridSpan w:val="2"/>
            <w:vAlign w:val="center"/>
          </w:tcPr>
          <w:p w14:paraId="793E1B5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29" w:type="dxa"/>
            <w:gridSpan w:val="2"/>
            <w:shd w:val="clear" w:color="auto" w:fill="F9CDC7"/>
            <w:vAlign w:val="center"/>
          </w:tcPr>
          <w:p w14:paraId="5EACC83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21%</w:t>
            </w:r>
          </w:p>
        </w:tc>
        <w:tc>
          <w:tcPr>
            <w:tcW w:w="628" w:type="dxa"/>
            <w:gridSpan w:val="2"/>
            <w:shd w:val="clear" w:color="auto" w:fill="F9CDC7"/>
            <w:vAlign w:val="center"/>
          </w:tcPr>
          <w:p w14:paraId="258951D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629" w:type="dxa"/>
            <w:gridSpan w:val="2"/>
            <w:vAlign w:val="center"/>
          </w:tcPr>
          <w:p w14:paraId="2014EAD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27%</w:t>
            </w:r>
          </w:p>
        </w:tc>
        <w:tc>
          <w:tcPr>
            <w:tcW w:w="629" w:type="dxa"/>
            <w:gridSpan w:val="2"/>
            <w:vAlign w:val="center"/>
          </w:tcPr>
          <w:p w14:paraId="5D80FB4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c>
          <w:tcPr>
            <w:tcW w:w="629" w:type="dxa"/>
            <w:gridSpan w:val="2"/>
            <w:shd w:val="clear" w:color="auto" w:fill="8BBAC3"/>
            <w:vAlign w:val="center"/>
          </w:tcPr>
          <w:p w14:paraId="3834210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39%</w:t>
            </w:r>
          </w:p>
        </w:tc>
        <w:tc>
          <w:tcPr>
            <w:tcW w:w="628" w:type="dxa"/>
            <w:gridSpan w:val="2"/>
            <w:vAlign w:val="center"/>
          </w:tcPr>
          <w:p w14:paraId="42E4657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29" w:type="dxa"/>
            <w:gridSpan w:val="2"/>
            <w:shd w:val="clear" w:color="auto" w:fill="8BBAC3"/>
            <w:vAlign w:val="center"/>
          </w:tcPr>
          <w:p w14:paraId="4F1517C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46%</w:t>
            </w:r>
          </w:p>
        </w:tc>
        <w:tc>
          <w:tcPr>
            <w:tcW w:w="483" w:type="dxa"/>
            <w:vAlign w:val="center"/>
          </w:tcPr>
          <w:p w14:paraId="773D810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567" w:type="dxa"/>
            <w:tcBorders>
              <w:right w:val="single" w:sz="12" w:space="0" w:color="8BBAC3"/>
            </w:tcBorders>
            <w:vAlign w:val="center"/>
          </w:tcPr>
          <w:p w14:paraId="0D8B1C8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r>
      <w:tr w:rsidR="00A33EBF" w:rsidRPr="0007053D" w14:paraId="32044567"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09632451"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Not a member of any group</w:t>
            </w:r>
          </w:p>
        </w:tc>
        <w:tc>
          <w:tcPr>
            <w:tcW w:w="670" w:type="dxa"/>
            <w:gridSpan w:val="2"/>
            <w:vAlign w:val="center"/>
          </w:tcPr>
          <w:p w14:paraId="3B74E8F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43%</w:t>
            </w:r>
          </w:p>
        </w:tc>
        <w:tc>
          <w:tcPr>
            <w:tcW w:w="728" w:type="dxa"/>
            <w:vAlign w:val="center"/>
          </w:tcPr>
          <w:p w14:paraId="0F19B4F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45%</w:t>
            </w:r>
          </w:p>
        </w:tc>
        <w:tc>
          <w:tcPr>
            <w:tcW w:w="630" w:type="dxa"/>
            <w:tcBorders>
              <w:right w:val="single" w:sz="18" w:space="0" w:color="254247"/>
            </w:tcBorders>
            <w:vAlign w:val="center"/>
          </w:tcPr>
          <w:p w14:paraId="683FC61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color w:val="F08374"/>
                <w:sz w:val="18"/>
                <w:szCs w:val="18"/>
              </w:rPr>
              <w:sym w:font="Wingdings" w:char="F0E8"/>
            </w:r>
          </w:p>
        </w:tc>
        <w:tc>
          <w:tcPr>
            <w:tcW w:w="665" w:type="dxa"/>
            <w:tcBorders>
              <w:left w:val="single" w:sz="18" w:space="0" w:color="254247"/>
            </w:tcBorders>
            <w:vAlign w:val="center"/>
          </w:tcPr>
          <w:p w14:paraId="719F24D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45%</w:t>
            </w:r>
          </w:p>
        </w:tc>
        <w:tc>
          <w:tcPr>
            <w:tcW w:w="681" w:type="dxa"/>
            <w:tcBorders>
              <w:right w:val="single" w:sz="18" w:space="0" w:color="254247"/>
            </w:tcBorders>
            <w:vAlign w:val="center"/>
          </w:tcPr>
          <w:p w14:paraId="015526B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46%</w:t>
            </w:r>
          </w:p>
        </w:tc>
        <w:tc>
          <w:tcPr>
            <w:tcW w:w="629" w:type="dxa"/>
            <w:tcBorders>
              <w:left w:val="single" w:sz="18" w:space="0" w:color="254247"/>
            </w:tcBorders>
            <w:vAlign w:val="center"/>
          </w:tcPr>
          <w:p w14:paraId="3ABA455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47%</w:t>
            </w:r>
          </w:p>
        </w:tc>
        <w:tc>
          <w:tcPr>
            <w:tcW w:w="629" w:type="dxa"/>
            <w:gridSpan w:val="2"/>
            <w:vAlign w:val="center"/>
          </w:tcPr>
          <w:p w14:paraId="170404A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43%</w:t>
            </w:r>
          </w:p>
        </w:tc>
        <w:tc>
          <w:tcPr>
            <w:tcW w:w="629" w:type="dxa"/>
            <w:gridSpan w:val="2"/>
            <w:tcBorders>
              <w:right w:val="single" w:sz="18" w:space="0" w:color="254247"/>
            </w:tcBorders>
            <w:vAlign w:val="center"/>
          </w:tcPr>
          <w:p w14:paraId="1033A0B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46%</w:t>
            </w:r>
          </w:p>
        </w:tc>
        <w:tc>
          <w:tcPr>
            <w:tcW w:w="628" w:type="dxa"/>
            <w:gridSpan w:val="2"/>
            <w:tcBorders>
              <w:left w:val="single" w:sz="18" w:space="0" w:color="254247"/>
            </w:tcBorders>
            <w:shd w:val="clear" w:color="auto" w:fill="F9CDC7"/>
            <w:vAlign w:val="center"/>
          </w:tcPr>
          <w:p w14:paraId="27A92D6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33%</w:t>
            </w:r>
          </w:p>
        </w:tc>
        <w:tc>
          <w:tcPr>
            <w:tcW w:w="745" w:type="dxa"/>
            <w:gridSpan w:val="3"/>
            <w:shd w:val="clear" w:color="auto" w:fill="F9CDC7"/>
            <w:vAlign w:val="center"/>
          </w:tcPr>
          <w:p w14:paraId="203E8BC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30%</w:t>
            </w:r>
          </w:p>
        </w:tc>
        <w:tc>
          <w:tcPr>
            <w:tcW w:w="629" w:type="dxa"/>
            <w:gridSpan w:val="2"/>
            <w:vAlign w:val="center"/>
          </w:tcPr>
          <w:p w14:paraId="1A84105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39%</w:t>
            </w:r>
          </w:p>
        </w:tc>
        <w:tc>
          <w:tcPr>
            <w:tcW w:w="629" w:type="dxa"/>
            <w:gridSpan w:val="2"/>
            <w:vAlign w:val="center"/>
          </w:tcPr>
          <w:p w14:paraId="5774311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41%</w:t>
            </w:r>
          </w:p>
        </w:tc>
        <w:tc>
          <w:tcPr>
            <w:tcW w:w="628" w:type="dxa"/>
            <w:gridSpan w:val="2"/>
            <w:vAlign w:val="center"/>
          </w:tcPr>
          <w:p w14:paraId="1F8C753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50%</w:t>
            </w:r>
          </w:p>
        </w:tc>
        <w:tc>
          <w:tcPr>
            <w:tcW w:w="629" w:type="dxa"/>
            <w:gridSpan w:val="2"/>
            <w:shd w:val="clear" w:color="auto" w:fill="8BBAC3"/>
            <w:vAlign w:val="center"/>
          </w:tcPr>
          <w:p w14:paraId="6A79460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60%</w:t>
            </w:r>
          </w:p>
        </w:tc>
        <w:tc>
          <w:tcPr>
            <w:tcW w:w="629" w:type="dxa"/>
            <w:gridSpan w:val="2"/>
            <w:vAlign w:val="center"/>
          </w:tcPr>
          <w:p w14:paraId="498030D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44%</w:t>
            </w:r>
          </w:p>
        </w:tc>
        <w:tc>
          <w:tcPr>
            <w:tcW w:w="628" w:type="dxa"/>
            <w:gridSpan w:val="2"/>
            <w:shd w:val="clear" w:color="auto" w:fill="F9CDC7"/>
            <w:vAlign w:val="center"/>
          </w:tcPr>
          <w:p w14:paraId="55DF829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41%</w:t>
            </w:r>
          </w:p>
        </w:tc>
        <w:tc>
          <w:tcPr>
            <w:tcW w:w="629" w:type="dxa"/>
            <w:gridSpan w:val="2"/>
            <w:vAlign w:val="center"/>
          </w:tcPr>
          <w:p w14:paraId="7AA117A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50%</w:t>
            </w:r>
          </w:p>
        </w:tc>
        <w:tc>
          <w:tcPr>
            <w:tcW w:w="629" w:type="dxa"/>
            <w:gridSpan w:val="2"/>
            <w:vAlign w:val="center"/>
          </w:tcPr>
          <w:p w14:paraId="1114F16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47%</w:t>
            </w:r>
          </w:p>
        </w:tc>
        <w:tc>
          <w:tcPr>
            <w:tcW w:w="629" w:type="dxa"/>
            <w:gridSpan w:val="2"/>
            <w:vAlign w:val="center"/>
          </w:tcPr>
          <w:p w14:paraId="6B7DDBF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48%</w:t>
            </w:r>
          </w:p>
        </w:tc>
        <w:tc>
          <w:tcPr>
            <w:tcW w:w="628" w:type="dxa"/>
            <w:gridSpan w:val="2"/>
            <w:vAlign w:val="center"/>
          </w:tcPr>
          <w:p w14:paraId="566BE9D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46%</w:t>
            </w:r>
          </w:p>
        </w:tc>
        <w:tc>
          <w:tcPr>
            <w:tcW w:w="629" w:type="dxa"/>
            <w:gridSpan w:val="2"/>
            <w:shd w:val="clear" w:color="auto" w:fill="8BBAC3"/>
            <w:vAlign w:val="center"/>
          </w:tcPr>
          <w:p w14:paraId="04F5F08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66%</w:t>
            </w:r>
          </w:p>
        </w:tc>
        <w:tc>
          <w:tcPr>
            <w:tcW w:w="483" w:type="dxa"/>
            <w:vAlign w:val="center"/>
          </w:tcPr>
          <w:p w14:paraId="6A198A0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45%</w:t>
            </w:r>
          </w:p>
        </w:tc>
        <w:tc>
          <w:tcPr>
            <w:tcW w:w="567" w:type="dxa"/>
            <w:tcBorders>
              <w:right w:val="single" w:sz="12" w:space="0" w:color="8BBAC3"/>
            </w:tcBorders>
            <w:vAlign w:val="center"/>
          </w:tcPr>
          <w:p w14:paraId="70D18C6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52%</w:t>
            </w:r>
          </w:p>
        </w:tc>
      </w:tr>
      <w:tr w:rsidR="00A33EBF" w:rsidRPr="0007053D" w14:paraId="04E5092B"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8E74F2A"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Met veg guidelines</w:t>
            </w:r>
          </w:p>
        </w:tc>
        <w:tc>
          <w:tcPr>
            <w:tcW w:w="670" w:type="dxa"/>
            <w:gridSpan w:val="2"/>
            <w:vAlign w:val="center"/>
          </w:tcPr>
          <w:p w14:paraId="0CD4FAC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Times New Roman"/>
                <w:sz w:val="18"/>
                <w:szCs w:val="18"/>
              </w:rPr>
              <w:t>15%</w:t>
            </w:r>
          </w:p>
        </w:tc>
        <w:tc>
          <w:tcPr>
            <w:tcW w:w="728" w:type="dxa"/>
            <w:vAlign w:val="center"/>
          </w:tcPr>
          <w:p w14:paraId="61A5ECE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14%</w:t>
            </w:r>
          </w:p>
        </w:tc>
        <w:tc>
          <w:tcPr>
            <w:tcW w:w="630" w:type="dxa"/>
            <w:tcBorders>
              <w:right w:val="single" w:sz="18" w:space="0" w:color="254247"/>
            </w:tcBorders>
            <w:vAlign w:val="center"/>
          </w:tcPr>
          <w:p w14:paraId="357D30E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Times New Roman"/>
                <w:color w:val="F08374"/>
                <w:sz w:val="18"/>
                <w:szCs w:val="18"/>
              </w:rPr>
              <w:sym w:font="Wingdings" w:char="F0E8"/>
            </w:r>
          </w:p>
        </w:tc>
        <w:tc>
          <w:tcPr>
            <w:tcW w:w="665" w:type="dxa"/>
            <w:tcBorders>
              <w:left w:val="single" w:sz="18" w:space="0" w:color="254247"/>
            </w:tcBorders>
            <w:shd w:val="clear" w:color="auto" w:fill="F9CDC7"/>
            <w:vAlign w:val="center"/>
          </w:tcPr>
          <w:p w14:paraId="1EC909F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12%</w:t>
            </w:r>
          </w:p>
        </w:tc>
        <w:tc>
          <w:tcPr>
            <w:tcW w:w="681" w:type="dxa"/>
            <w:tcBorders>
              <w:right w:val="single" w:sz="18" w:space="0" w:color="254247"/>
            </w:tcBorders>
            <w:shd w:val="clear" w:color="auto" w:fill="8BBAC3"/>
            <w:vAlign w:val="center"/>
          </w:tcPr>
          <w:p w14:paraId="21904DF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17%</w:t>
            </w:r>
          </w:p>
        </w:tc>
        <w:tc>
          <w:tcPr>
            <w:tcW w:w="629" w:type="dxa"/>
            <w:tcBorders>
              <w:left w:val="single" w:sz="18" w:space="0" w:color="254247"/>
            </w:tcBorders>
            <w:vAlign w:val="center"/>
          </w:tcPr>
          <w:p w14:paraId="380B61D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629" w:type="dxa"/>
            <w:gridSpan w:val="2"/>
            <w:vAlign w:val="center"/>
          </w:tcPr>
          <w:p w14:paraId="27B4FA3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12%</w:t>
            </w:r>
          </w:p>
        </w:tc>
        <w:tc>
          <w:tcPr>
            <w:tcW w:w="629" w:type="dxa"/>
            <w:gridSpan w:val="2"/>
            <w:tcBorders>
              <w:right w:val="single" w:sz="18" w:space="0" w:color="254247"/>
            </w:tcBorders>
            <w:vAlign w:val="center"/>
          </w:tcPr>
          <w:p w14:paraId="64EF5DD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15%</w:t>
            </w:r>
          </w:p>
        </w:tc>
        <w:tc>
          <w:tcPr>
            <w:tcW w:w="628" w:type="dxa"/>
            <w:gridSpan w:val="2"/>
            <w:tcBorders>
              <w:left w:val="single" w:sz="18" w:space="0" w:color="254247"/>
            </w:tcBorders>
            <w:vAlign w:val="center"/>
          </w:tcPr>
          <w:p w14:paraId="4DF0608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745" w:type="dxa"/>
            <w:gridSpan w:val="3"/>
            <w:vAlign w:val="center"/>
          </w:tcPr>
          <w:p w14:paraId="19B4810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17%</w:t>
            </w:r>
          </w:p>
        </w:tc>
        <w:tc>
          <w:tcPr>
            <w:tcW w:w="629" w:type="dxa"/>
            <w:gridSpan w:val="2"/>
            <w:vAlign w:val="center"/>
          </w:tcPr>
          <w:p w14:paraId="3CC5A1E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629" w:type="dxa"/>
            <w:gridSpan w:val="2"/>
            <w:vAlign w:val="center"/>
          </w:tcPr>
          <w:p w14:paraId="04E22BD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28" w:type="dxa"/>
            <w:gridSpan w:val="2"/>
            <w:vAlign w:val="center"/>
          </w:tcPr>
          <w:p w14:paraId="73B96F2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14%</w:t>
            </w:r>
          </w:p>
        </w:tc>
        <w:tc>
          <w:tcPr>
            <w:tcW w:w="629" w:type="dxa"/>
            <w:gridSpan w:val="2"/>
            <w:vAlign w:val="center"/>
          </w:tcPr>
          <w:p w14:paraId="2BEB5D3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11%</w:t>
            </w:r>
          </w:p>
        </w:tc>
        <w:tc>
          <w:tcPr>
            <w:tcW w:w="629" w:type="dxa"/>
            <w:gridSpan w:val="2"/>
            <w:vAlign w:val="center"/>
          </w:tcPr>
          <w:p w14:paraId="7F645D5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17%</w:t>
            </w:r>
          </w:p>
        </w:tc>
        <w:tc>
          <w:tcPr>
            <w:tcW w:w="628" w:type="dxa"/>
            <w:gridSpan w:val="2"/>
            <w:vAlign w:val="center"/>
          </w:tcPr>
          <w:p w14:paraId="485E130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18%</w:t>
            </w:r>
          </w:p>
        </w:tc>
        <w:tc>
          <w:tcPr>
            <w:tcW w:w="629" w:type="dxa"/>
            <w:gridSpan w:val="2"/>
            <w:vAlign w:val="center"/>
          </w:tcPr>
          <w:p w14:paraId="5C0C920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20%</w:t>
            </w:r>
          </w:p>
        </w:tc>
        <w:tc>
          <w:tcPr>
            <w:tcW w:w="629" w:type="dxa"/>
            <w:gridSpan w:val="2"/>
            <w:vAlign w:val="center"/>
          </w:tcPr>
          <w:p w14:paraId="694B60B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20%</w:t>
            </w:r>
          </w:p>
        </w:tc>
        <w:tc>
          <w:tcPr>
            <w:tcW w:w="629" w:type="dxa"/>
            <w:gridSpan w:val="2"/>
            <w:vAlign w:val="center"/>
          </w:tcPr>
          <w:p w14:paraId="0BC98F6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628" w:type="dxa"/>
            <w:gridSpan w:val="2"/>
            <w:vAlign w:val="center"/>
          </w:tcPr>
          <w:p w14:paraId="4E8FADE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15%</w:t>
            </w:r>
          </w:p>
        </w:tc>
        <w:tc>
          <w:tcPr>
            <w:tcW w:w="629" w:type="dxa"/>
            <w:gridSpan w:val="2"/>
            <w:vAlign w:val="center"/>
          </w:tcPr>
          <w:p w14:paraId="79101D7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483" w:type="dxa"/>
            <w:vAlign w:val="center"/>
          </w:tcPr>
          <w:p w14:paraId="7A4712D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567" w:type="dxa"/>
            <w:tcBorders>
              <w:right w:val="single" w:sz="12" w:space="0" w:color="8BBAC3"/>
            </w:tcBorders>
            <w:vAlign w:val="center"/>
          </w:tcPr>
          <w:p w14:paraId="13AA3CA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r>
      <w:tr w:rsidR="00A33EBF" w:rsidRPr="0007053D" w14:paraId="6E43B5EC"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619D62D4"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Met fruit guidelines</w:t>
            </w:r>
          </w:p>
        </w:tc>
        <w:tc>
          <w:tcPr>
            <w:tcW w:w="670" w:type="dxa"/>
            <w:gridSpan w:val="2"/>
            <w:vAlign w:val="center"/>
          </w:tcPr>
          <w:p w14:paraId="6DE53F4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Times New Roman"/>
                <w:sz w:val="18"/>
                <w:szCs w:val="18"/>
              </w:rPr>
              <w:t>46%</w:t>
            </w:r>
          </w:p>
        </w:tc>
        <w:tc>
          <w:tcPr>
            <w:tcW w:w="728" w:type="dxa"/>
            <w:vAlign w:val="center"/>
          </w:tcPr>
          <w:p w14:paraId="0EBA301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50%</w:t>
            </w:r>
          </w:p>
        </w:tc>
        <w:tc>
          <w:tcPr>
            <w:tcW w:w="630" w:type="dxa"/>
            <w:tcBorders>
              <w:right w:val="single" w:sz="18" w:space="0" w:color="254247"/>
            </w:tcBorders>
            <w:vAlign w:val="center"/>
          </w:tcPr>
          <w:p w14:paraId="17D4726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0B050"/>
                <w:sz w:val="18"/>
                <w:szCs w:val="18"/>
              </w:rPr>
              <w:sym w:font="Wingdings" w:char="F0E9"/>
            </w:r>
          </w:p>
        </w:tc>
        <w:tc>
          <w:tcPr>
            <w:tcW w:w="665" w:type="dxa"/>
            <w:tcBorders>
              <w:left w:val="single" w:sz="18" w:space="0" w:color="254247"/>
            </w:tcBorders>
            <w:vAlign w:val="center"/>
          </w:tcPr>
          <w:p w14:paraId="4C36615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48%</w:t>
            </w:r>
          </w:p>
        </w:tc>
        <w:tc>
          <w:tcPr>
            <w:tcW w:w="681" w:type="dxa"/>
            <w:tcBorders>
              <w:right w:val="single" w:sz="18" w:space="0" w:color="254247"/>
            </w:tcBorders>
            <w:vAlign w:val="center"/>
          </w:tcPr>
          <w:p w14:paraId="5D40303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29" w:type="dxa"/>
            <w:tcBorders>
              <w:left w:val="single" w:sz="18" w:space="0" w:color="254247"/>
            </w:tcBorders>
            <w:vAlign w:val="center"/>
          </w:tcPr>
          <w:p w14:paraId="0286E5B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47%</w:t>
            </w:r>
          </w:p>
        </w:tc>
        <w:tc>
          <w:tcPr>
            <w:tcW w:w="629" w:type="dxa"/>
            <w:gridSpan w:val="2"/>
            <w:vAlign w:val="center"/>
          </w:tcPr>
          <w:p w14:paraId="0C2712E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50%</w:t>
            </w:r>
          </w:p>
        </w:tc>
        <w:tc>
          <w:tcPr>
            <w:tcW w:w="629" w:type="dxa"/>
            <w:gridSpan w:val="2"/>
            <w:tcBorders>
              <w:right w:val="single" w:sz="18" w:space="0" w:color="254247"/>
            </w:tcBorders>
            <w:vAlign w:val="center"/>
          </w:tcPr>
          <w:p w14:paraId="520D83C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53%</w:t>
            </w:r>
          </w:p>
        </w:tc>
        <w:tc>
          <w:tcPr>
            <w:tcW w:w="628" w:type="dxa"/>
            <w:gridSpan w:val="2"/>
            <w:tcBorders>
              <w:left w:val="single" w:sz="18" w:space="0" w:color="254247"/>
            </w:tcBorders>
            <w:vAlign w:val="center"/>
          </w:tcPr>
          <w:p w14:paraId="6B8497C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55%</w:t>
            </w:r>
          </w:p>
        </w:tc>
        <w:tc>
          <w:tcPr>
            <w:tcW w:w="745" w:type="dxa"/>
            <w:gridSpan w:val="3"/>
            <w:vAlign w:val="center"/>
          </w:tcPr>
          <w:p w14:paraId="58BEECC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55%</w:t>
            </w:r>
          </w:p>
        </w:tc>
        <w:tc>
          <w:tcPr>
            <w:tcW w:w="629" w:type="dxa"/>
            <w:gridSpan w:val="2"/>
            <w:shd w:val="clear" w:color="auto" w:fill="8BBAC3"/>
            <w:vAlign w:val="center"/>
          </w:tcPr>
          <w:p w14:paraId="2F8E7F8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66%</w:t>
            </w:r>
          </w:p>
        </w:tc>
        <w:tc>
          <w:tcPr>
            <w:tcW w:w="629" w:type="dxa"/>
            <w:gridSpan w:val="2"/>
            <w:vAlign w:val="center"/>
          </w:tcPr>
          <w:p w14:paraId="08BE89A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43%</w:t>
            </w:r>
          </w:p>
        </w:tc>
        <w:tc>
          <w:tcPr>
            <w:tcW w:w="628" w:type="dxa"/>
            <w:gridSpan w:val="2"/>
            <w:vAlign w:val="center"/>
          </w:tcPr>
          <w:p w14:paraId="10B4777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29" w:type="dxa"/>
            <w:gridSpan w:val="2"/>
            <w:vAlign w:val="center"/>
          </w:tcPr>
          <w:p w14:paraId="7657938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43%</w:t>
            </w:r>
          </w:p>
        </w:tc>
        <w:tc>
          <w:tcPr>
            <w:tcW w:w="629" w:type="dxa"/>
            <w:gridSpan w:val="2"/>
            <w:vAlign w:val="center"/>
          </w:tcPr>
          <w:p w14:paraId="18C37B9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46%</w:t>
            </w:r>
          </w:p>
        </w:tc>
        <w:tc>
          <w:tcPr>
            <w:tcW w:w="628" w:type="dxa"/>
            <w:gridSpan w:val="2"/>
            <w:vAlign w:val="center"/>
          </w:tcPr>
          <w:p w14:paraId="1E68DF5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29" w:type="dxa"/>
            <w:gridSpan w:val="2"/>
            <w:vAlign w:val="center"/>
          </w:tcPr>
          <w:p w14:paraId="384DE3A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58%</w:t>
            </w:r>
          </w:p>
        </w:tc>
        <w:tc>
          <w:tcPr>
            <w:tcW w:w="629" w:type="dxa"/>
            <w:gridSpan w:val="2"/>
            <w:shd w:val="clear" w:color="auto" w:fill="8BBAC3"/>
            <w:vAlign w:val="center"/>
          </w:tcPr>
          <w:p w14:paraId="1F22601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63%</w:t>
            </w:r>
          </w:p>
        </w:tc>
        <w:tc>
          <w:tcPr>
            <w:tcW w:w="629" w:type="dxa"/>
            <w:gridSpan w:val="2"/>
            <w:shd w:val="clear" w:color="auto" w:fill="F9CDC7"/>
            <w:vAlign w:val="center"/>
          </w:tcPr>
          <w:p w14:paraId="04CD52F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38%</w:t>
            </w:r>
          </w:p>
        </w:tc>
        <w:tc>
          <w:tcPr>
            <w:tcW w:w="628" w:type="dxa"/>
            <w:gridSpan w:val="2"/>
            <w:vAlign w:val="center"/>
          </w:tcPr>
          <w:p w14:paraId="53F368F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47%</w:t>
            </w:r>
          </w:p>
        </w:tc>
        <w:tc>
          <w:tcPr>
            <w:tcW w:w="629" w:type="dxa"/>
            <w:gridSpan w:val="2"/>
            <w:shd w:val="clear" w:color="auto" w:fill="F9CDC7"/>
            <w:vAlign w:val="center"/>
          </w:tcPr>
          <w:p w14:paraId="3C0F039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37%</w:t>
            </w:r>
          </w:p>
        </w:tc>
        <w:tc>
          <w:tcPr>
            <w:tcW w:w="483" w:type="dxa"/>
            <w:shd w:val="clear" w:color="auto" w:fill="F9CDC7"/>
            <w:vAlign w:val="center"/>
          </w:tcPr>
          <w:p w14:paraId="270A216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40%</w:t>
            </w:r>
          </w:p>
        </w:tc>
        <w:tc>
          <w:tcPr>
            <w:tcW w:w="567" w:type="dxa"/>
            <w:tcBorders>
              <w:right w:val="single" w:sz="12" w:space="0" w:color="8BBAC3"/>
            </w:tcBorders>
            <w:vAlign w:val="center"/>
          </w:tcPr>
          <w:p w14:paraId="4AB0734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44%</w:t>
            </w:r>
          </w:p>
        </w:tc>
      </w:tr>
      <w:tr w:rsidR="00A33EBF" w:rsidRPr="0007053D" w14:paraId="15E08EF5"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6A708FC"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Eat fast food weekly</w:t>
            </w:r>
          </w:p>
        </w:tc>
        <w:tc>
          <w:tcPr>
            <w:tcW w:w="670" w:type="dxa"/>
            <w:gridSpan w:val="2"/>
            <w:vAlign w:val="center"/>
          </w:tcPr>
          <w:p w14:paraId="411074E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Times New Roman"/>
                <w:sz w:val="18"/>
                <w:szCs w:val="18"/>
              </w:rPr>
              <w:t>43%</w:t>
            </w:r>
          </w:p>
        </w:tc>
        <w:tc>
          <w:tcPr>
            <w:tcW w:w="728" w:type="dxa"/>
            <w:vAlign w:val="center"/>
          </w:tcPr>
          <w:p w14:paraId="2F61951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44%</w:t>
            </w:r>
          </w:p>
        </w:tc>
        <w:tc>
          <w:tcPr>
            <w:tcW w:w="630" w:type="dxa"/>
            <w:tcBorders>
              <w:right w:val="single" w:sz="18" w:space="0" w:color="254247"/>
            </w:tcBorders>
            <w:vAlign w:val="center"/>
          </w:tcPr>
          <w:p w14:paraId="4DA15EA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Times New Roman"/>
                <w:color w:val="F08374"/>
                <w:sz w:val="18"/>
                <w:szCs w:val="18"/>
              </w:rPr>
              <w:sym w:font="Wingdings" w:char="F0E8"/>
            </w:r>
          </w:p>
        </w:tc>
        <w:tc>
          <w:tcPr>
            <w:tcW w:w="665" w:type="dxa"/>
            <w:tcBorders>
              <w:left w:val="single" w:sz="18" w:space="0" w:color="254247"/>
            </w:tcBorders>
            <w:shd w:val="clear" w:color="auto" w:fill="8BBAC3"/>
            <w:vAlign w:val="center"/>
          </w:tcPr>
          <w:p w14:paraId="42B941E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81" w:type="dxa"/>
            <w:tcBorders>
              <w:right w:val="single" w:sz="18" w:space="0" w:color="254247"/>
            </w:tcBorders>
            <w:shd w:val="clear" w:color="auto" w:fill="F9CDC7"/>
            <w:vAlign w:val="center"/>
          </w:tcPr>
          <w:p w14:paraId="5822F45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38%</w:t>
            </w:r>
          </w:p>
        </w:tc>
        <w:tc>
          <w:tcPr>
            <w:tcW w:w="629" w:type="dxa"/>
            <w:tcBorders>
              <w:left w:val="single" w:sz="18" w:space="0" w:color="254247"/>
            </w:tcBorders>
            <w:shd w:val="clear" w:color="auto" w:fill="8BBAC3"/>
            <w:vAlign w:val="center"/>
          </w:tcPr>
          <w:p w14:paraId="5004A63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60%</w:t>
            </w:r>
          </w:p>
        </w:tc>
        <w:tc>
          <w:tcPr>
            <w:tcW w:w="629" w:type="dxa"/>
            <w:gridSpan w:val="2"/>
            <w:vAlign w:val="center"/>
          </w:tcPr>
          <w:p w14:paraId="5D6A5CE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46%</w:t>
            </w:r>
          </w:p>
        </w:tc>
        <w:tc>
          <w:tcPr>
            <w:tcW w:w="629" w:type="dxa"/>
            <w:gridSpan w:val="2"/>
            <w:tcBorders>
              <w:right w:val="single" w:sz="18" w:space="0" w:color="254247"/>
            </w:tcBorders>
            <w:shd w:val="clear" w:color="auto" w:fill="F9CDC7"/>
            <w:vAlign w:val="center"/>
          </w:tcPr>
          <w:p w14:paraId="547C107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27%</w:t>
            </w:r>
          </w:p>
        </w:tc>
        <w:tc>
          <w:tcPr>
            <w:tcW w:w="628" w:type="dxa"/>
            <w:gridSpan w:val="2"/>
            <w:tcBorders>
              <w:left w:val="single" w:sz="18" w:space="0" w:color="254247"/>
            </w:tcBorders>
            <w:shd w:val="clear" w:color="auto" w:fill="8BBAC3"/>
            <w:vAlign w:val="center"/>
          </w:tcPr>
          <w:p w14:paraId="368FB42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60%</w:t>
            </w:r>
          </w:p>
        </w:tc>
        <w:tc>
          <w:tcPr>
            <w:tcW w:w="745" w:type="dxa"/>
            <w:gridSpan w:val="3"/>
            <w:shd w:val="clear" w:color="auto" w:fill="F9CDC7"/>
            <w:vAlign w:val="center"/>
          </w:tcPr>
          <w:p w14:paraId="41FF856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30%</w:t>
            </w:r>
          </w:p>
        </w:tc>
        <w:tc>
          <w:tcPr>
            <w:tcW w:w="629" w:type="dxa"/>
            <w:gridSpan w:val="2"/>
            <w:vAlign w:val="center"/>
          </w:tcPr>
          <w:p w14:paraId="02AE7C1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49%</w:t>
            </w:r>
          </w:p>
        </w:tc>
        <w:tc>
          <w:tcPr>
            <w:tcW w:w="629" w:type="dxa"/>
            <w:gridSpan w:val="2"/>
            <w:shd w:val="clear" w:color="auto" w:fill="F9CDC7"/>
            <w:vAlign w:val="center"/>
          </w:tcPr>
          <w:p w14:paraId="7ADB61D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23%</w:t>
            </w:r>
          </w:p>
        </w:tc>
        <w:tc>
          <w:tcPr>
            <w:tcW w:w="628" w:type="dxa"/>
            <w:gridSpan w:val="2"/>
            <w:vAlign w:val="center"/>
          </w:tcPr>
          <w:p w14:paraId="4D46172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50%</w:t>
            </w:r>
          </w:p>
        </w:tc>
        <w:tc>
          <w:tcPr>
            <w:tcW w:w="629" w:type="dxa"/>
            <w:gridSpan w:val="2"/>
            <w:shd w:val="clear" w:color="auto" w:fill="8BBAC3"/>
            <w:vAlign w:val="center"/>
          </w:tcPr>
          <w:p w14:paraId="14F3290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53%</w:t>
            </w:r>
          </w:p>
        </w:tc>
        <w:tc>
          <w:tcPr>
            <w:tcW w:w="629" w:type="dxa"/>
            <w:gridSpan w:val="2"/>
            <w:shd w:val="clear" w:color="auto" w:fill="8BBAC3"/>
            <w:vAlign w:val="center"/>
          </w:tcPr>
          <w:p w14:paraId="4F79E70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28" w:type="dxa"/>
            <w:gridSpan w:val="2"/>
            <w:vAlign w:val="center"/>
          </w:tcPr>
          <w:p w14:paraId="12A0F08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36%</w:t>
            </w:r>
          </w:p>
        </w:tc>
        <w:tc>
          <w:tcPr>
            <w:tcW w:w="629" w:type="dxa"/>
            <w:gridSpan w:val="2"/>
            <w:vAlign w:val="center"/>
          </w:tcPr>
          <w:p w14:paraId="4339387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35%</w:t>
            </w:r>
          </w:p>
        </w:tc>
        <w:tc>
          <w:tcPr>
            <w:tcW w:w="629" w:type="dxa"/>
            <w:gridSpan w:val="2"/>
            <w:vAlign w:val="center"/>
          </w:tcPr>
          <w:p w14:paraId="05385F5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35%</w:t>
            </w:r>
          </w:p>
        </w:tc>
        <w:tc>
          <w:tcPr>
            <w:tcW w:w="629" w:type="dxa"/>
            <w:gridSpan w:val="2"/>
            <w:vAlign w:val="center"/>
          </w:tcPr>
          <w:p w14:paraId="5EAE36D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47%</w:t>
            </w:r>
          </w:p>
        </w:tc>
        <w:tc>
          <w:tcPr>
            <w:tcW w:w="628" w:type="dxa"/>
            <w:gridSpan w:val="2"/>
            <w:vAlign w:val="center"/>
          </w:tcPr>
          <w:p w14:paraId="5C7BA73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50%</w:t>
            </w:r>
          </w:p>
        </w:tc>
        <w:tc>
          <w:tcPr>
            <w:tcW w:w="629" w:type="dxa"/>
            <w:gridSpan w:val="2"/>
            <w:shd w:val="clear" w:color="auto" w:fill="8BBAC3"/>
            <w:vAlign w:val="center"/>
          </w:tcPr>
          <w:p w14:paraId="0ECA7DD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55%</w:t>
            </w:r>
          </w:p>
        </w:tc>
        <w:tc>
          <w:tcPr>
            <w:tcW w:w="483" w:type="dxa"/>
            <w:vAlign w:val="center"/>
          </w:tcPr>
          <w:p w14:paraId="09495B1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45%</w:t>
            </w:r>
          </w:p>
        </w:tc>
        <w:tc>
          <w:tcPr>
            <w:tcW w:w="567" w:type="dxa"/>
            <w:tcBorders>
              <w:right w:val="single" w:sz="12" w:space="0" w:color="8BBAC3"/>
            </w:tcBorders>
            <w:vAlign w:val="center"/>
          </w:tcPr>
          <w:p w14:paraId="5E37987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43%</w:t>
            </w:r>
          </w:p>
        </w:tc>
      </w:tr>
      <w:tr w:rsidR="0080045B" w:rsidRPr="0007053D" w14:paraId="3FAF5F27"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62D9074C"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Drink 8+ glasses water a day</w:t>
            </w:r>
          </w:p>
        </w:tc>
        <w:tc>
          <w:tcPr>
            <w:tcW w:w="670" w:type="dxa"/>
            <w:gridSpan w:val="2"/>
            <w:vAlign w:val="center"/>
          </w:tcPr>
          <w:p w14:paraId="3AF9D49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Arial"/>
                <w:sz w:val="18"/>
                <w:szCs w:val="18"/>
              </w:rPr>
              <w:t>42%</w:t>
            </w:r>
          </w:p>
        </w:tc>
        <w:tc>
          <w:tcPr>
            <w:tcW w:w="728" w:type="dxa"/>
            <w:vAlign w:val="center"/>
          </w:tcPr>
          <w:p w14:paraId="1D5D608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42%</w:t>
            </w:r>
          </w:p>
        </w:tc>
        <w:tc>
          <w:tcPr>
            <w:tcW w:w="630" w:type="dxa"/>
            <w:tcBorders>
              <w:right w:val="single" w:sz="18" w:space="0" w:color="254247"/>
            </w:tcBorders>
            <w:vAlign w:val="center"/>
          </w:tcPr>
          <w:p w14:paraId="224BD87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color w:val="F08374"/>
                <w:sz w:val="18"/>
                <w:szCs w:val="18"/>
              </w:rPr>
              <w:sym w:font="Wingdings" w:char="F0E8"/>
            </w:r>
          </w:p>
        </w:tc>
        <w:tc>
          <w:tcPr>
            <w:tcW w:w="665" w:type="dxa"/>
            <w:tcBorders>
              <w:left w:val="single" w:sz="18" w:space="0" w:color="254247"/>
            </w:tcBorders>
            <w:shd w:val="clear" w:color="auto" w:fill="8BBAC3"/>
            <w:vAlign w:val="center"/>
          </w:tcPr>
          <w:p w14:paraId="52BBBEB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50%</w:t>
            </w:r>
          </w:p>
        </w:tc>
        <w:tc>
          <w:tcPr>
            <w:tcW w:w="681" w:type="dxa"/>
            <w:tcBorders>
              <w:right w:val="single" w:sz="18" w:space="0" w:color="254247"/>
            </w:tcBorders>
            <w:shd w:val="clear" w:color="auto" w:fill="F9CDC7"/>
            <w:vAlign w:val="center"/>
          </w:tcPr>
          <w:p w14:paraId="078F835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35%</w:t>
            </w:r>
          </w:p>
        </w:tc>
        <w:tc>
          <w:tcPr>
            <w:tcW w:w="629" w:type="dxa"/>
            <w:tcBorders>
              <w:left w:val="single" w:sz="18" w:space="0" w:color="254247"/>
            </w:tcBorders>
            <w:shd w:val="clear" w:color="auto" w:fill="8BBAC3"/>
            <w:vAlign w:val="center"/>
          </w:tcPr>
          <w:p w14:paraId="27AF525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57%</w:t>
            </w:r>
          </w:p>
        </w:tc>
        <w:tc>
          <w:tcPr>
            <w:tcW w:w="629" w:type="dxa"/>
            <w:gridSpan w:val="2"/>
            <w:vAlign w:val="center"/>
          </w:tcPr>
          <w:p w14:paraId="0BF5A48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45%</w:t>
            </w:r>
          </w:p>
        </w:tc>
        <w:tc>
          <w:tcPr>
            <w:tcW w:w="629" w:type="dxa"/>
            <w:gridSpan w:val="2"/>
            <w:tcBorders>
              <w:right w:val="single" w:sz="18" w:space="0" w:color="254247"/>
            </w:tcBorders>
            <w:shd w:val="clear" w:color="auto" w:fill="F9CDC7"/>
            <w:vAlign w:val="center"/>
          </w:tcPr>
          <w:p w14:paraId="69B4896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c>
          <w:tcPr>
            <w:tcW w:w="628" w:type="dxa"/>
            <w:gridSpan w:val="2"/>
            <w:tcBorders>
              <w:left w:val="single" w:sz="18" w:space="0" w:color="254247"/>
            </w:tcBorders>
            <w:vAlign w:val="center"/>
          </w:tcPr>
          <w:p w14:paraId="4E0747F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41%</w:t>
            </w:r>
          </w:p>
        </w:tc>
        <w:tc>
          <w:tcPr>
            <w:tcW w:w="745" w:type="dxa"/>
            <w:gridSpan w:val="3"/>
            <w:vAlign w:val="center"/>
          </w:tcPr>
          <w:p w14:paraId="0861E1D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46%</w:t>
            </w:r>
          </w:p>
        </w:tc>
        <w:tc>
          <w:tcPr>
            <w:tcW w:w="629" w:type="dxa"/>
            <w:gridSpan w:val="2"/>
            <w:vAlign w:val="center"/>
          </w:tcPr>
          <w:p w14:paraId="2E21FE0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47%</w:t>
            </w:r>
          </w:p>
        </w:tc>
        <w:tc>
          <w:tcPr>
            <w:tcW w:w="629" w:type="dxa"/>
            <w:gridSpan w:val="2"/>
            <w:vAlign w:val="center"/>
          </w:tcPr>
          <w:p w14:paraId="691A1A5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30%</w:t>
            </w:r>
          </w:p>
        </w:tc>
        <w:tc>
          <w:tcPr>
            <w:tcW w:w="628" w:type="dxa"/>
            <w:gridSpan w:val="2"/>
            <w:vAlign w:val="center"/>
          </w:tcPr>
          <w:p w14:paraId="2972763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40%</w:t>
            </w:r>
          </w:p>
        </w:tc>
        <w:tc>
          <w:tcPr>
            <w:tcW w:w="629" w:type="dxa"/>
            <w:gridSpan w:val="2"/>
            <w:vAlign w:val="center"/>
          </w:tcPr>
          <w:p w14:paraId="272E15A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31%</w:t>
            </w:r>
          </w:p>
        </w:tc>
        <w:tc>
          <w:tcPr>
            <w:tcW w:w="629" w:type="dxa"/>
            <w:gridSpan w:val="2"/>
            <w:vAlign w:val="center"/>
          </w:tcPr>
          <w:p w14:paraId="2E01F40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47%</w:t>
            </w:r>
          </w:p>
        </w:tc>
        <w:tc>
          <w:tcPr>
            <w:tcW w:w="628" w:type="dxa"/>
            <w:gridSpan w:val="2"/>
            <w:vAlign w:val="center"/>
          </w:tcPr>
          <w:p w14:paraId="1BFA644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43%</w:t>
            </w:r>
          </w:p>
        </w:tc>
        <w:tc>
          <w:tcPr>
            <w:tcW w:w="629" w:type="dxa"/>
            <w:gridSpan w:val="2"/>
            <w:vAlign w:val="center"/>
          </w:tcPr>
          <w:p w14:paraId="6FE63EE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39%</w:t>
            </w:r>
          </w:p>
        </w:tc>
        <w:tc>
          <w:tcPr>
            <w:tcW w:w="629" w:type="dxa"/>
            <w:gridSpan w:val="2"/>
            <w:vAlign w:val="center"/>
          </w:tcPr>
          <w:p w14:paraId="6F0708F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46%</w:t>
            </w:r>
          </w:p>
        </w:tc>
        <w:tc>
          <w:tcPr>
            <w:tcW w:w="629" w:type="dxa"/>
            <w:gridSpan w:val="2"/>
            <w:vAlign w:val="center"/>
          </w:tcPr>
          <w:p w14:paraId="7BEFD3A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38%</w:t>
            </w:r>
          </w:p>
        </w:tc>
        <w:tc>
          <w:tcPr>
            <w:tcW w:w="628" w:type="dxa"/>
            <w:gridSpan w:val="2"/>
            <w:vAlign w:val="center"/>
          </w:tcPr>
          <w:p w14:paraId="3A97AB7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41%</w:t>
            </w:r>
          </w:p>
        </w:tc>
        <w:tc>
          <w:tcPr>
            <w:tcW w:w="629" w:type="dxa"/>
            <w:gridSpan w:val="2"/>
            <w:vAlign w:val="center"/>
          </w:tcPr>
          <w:p w14:paraId="679A19E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41%</w:t>
            </w:r>
          </w:p>
        </w:tc>
        <w:tc>
          <w:tcPr>
            <w:tcW w:w="483" w:type="dxa"/>
            <w:vAlign w:val="center"/>
          </w:tcPr>
          <w:p w14:paraId="1DE0575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45%</w:t>
            </w:r>
          </w:p>
        </w:tc>
        <w:tc>
          <w:tcPr>
            <w:tcW w:w="567" w:type="dxa"/>
            <w:tcBorders>
              <w:right w:val="single" w:sz="12" w:space="0" w:color="8BBAC3"/>
            </w:tcBorders>
            <w:vAlign w:val="center"/>
          </w:tcPr>
          <w:p w14:paraId="42833C5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51%</w:t>
            </w:r>
          </w:p>
        </w:tc>
      </w:tr>
      <w:tr w:rsidR="00A33EBF" w:rsidRPr="0007053D" w14:paraId="44A0AB66"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5E22AD1"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Consume sugar sweetened drinks &gt;weekly</w:t>
            </w:r>
          </w:p>
        </w:tc>
        <w:tc>
          <w:tcPr>
            <w:tcW w:w="670" w:type="dxa"/>
            <w:gridSpan w:val="2"/>
            <w:vAlign w:val="center"/>
          </w:tcPr>
          <w:p w14:paraId="109170F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Arial"/>
                <w:sz w:val="18"/>
                <w:szCs w:val="18"/>
              </w:rPr>
              <w:t>37%</w:t>
            </w:r>
          </w:p>
        </w:tc>
        <w:tc>
          <w:tcPr>
            <w:tcW w:w="728" w:type="dxa"/>
            <w:vAlign w:val="center"/>
          </w:tcPr>
          <w:p w14:paraId="36A8645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29%</w:t>
            </w:r>
          </w:p>
        </w:tc>
        <w:tc>
          <w:tcPr>
            <w:tcW w:w="630" w:type="dxa"/>
            <w:tcBorders>
              <w:right w:val="single" w:sz="18" w:space="0" w:color="254247"/>
            </w:tcBorders>
            <w:vAlign w:val="center"/>
          </w:tcPr>
          <w:p w14:paraId="751D390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Arial"/>
                <w:color w:val="00B050"/>
                <w:sz w:val="18"/>
                <w:szCs w:val="18"/>
              </w:rPr>
              <w:sym w:font="Wingdings" w:char="F0EA"/>
            </w:r>
          </w:p>
        </w:tc>
        <w:tc>
          <w:tcPr>
            <w:tcW w:w="665" w:type="dxa"/>
            <w:tcBorders>
              <w:left w:val="single" w:sz="18" w:space="0" w:color="254247"/>
            </w:tcBorders>
            <w:shd w:val="clear" w:color="auto" w:fill="8BBAC3"/>
            <w:vAlign w:val="center"/>
          </w:tcPr>
          <w:p w14:paraId="7D22F92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37%</w:t>
            </w:r>
          </w:p>
        </w:tc>
        <w:tc>
          <w:tcPr>
            <w:tcW w:w="681" w:type="dxa"/>
            <w:tcBorders>
              <w:right w:val="single" w:sz="18" w:space="0" w:color="254247"/>
            </w:tcBorders>
            <w:shd w:val="clear" w:color="auto" w:fill="F9CDC7"/>
            <w:vAlign w:val="center"/>
          </w:tcPr>
          <w:p w14:paraId="41BCF4A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c>
          <w:tcPr>
            <w:tcW w:w="629" w:type="dxa"/>
            <w:tcBorders>
              <w:left w:val="single" w:sz="18" w:space="0" w:color="254247"/>
            </w:tcBorders>
            <w:shd w:val="clear" w:color="auto" w:fill="8BBAC3"/>
            <w:vAlign w:val="center"/>
          </w:tcPr>
          <w:p w14:paraId="0902A06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39%</w:t>
            </w:r>
          </w:p>
        </w:tc>
        <w:tc>
          <w:tcPr>
            <w:tcW w:w="629" w:type="dxa"/>
            <w:gridSpan w:val="2"/>
            <w:vAlign w:val="center"/>
          </w:tcPr>
          <w:p w14:paraId="44CF90C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629" w:type="dxa"/>
            <w:gridSpan w:val="2"/>
            <w:tcBorders>
              <w:right w:val="single" w:sz="18" w:space="0" w:color="254247"/>
            </w:tcBorders>
            <w:shd w:val="clear" w:color="auto" w:fill="F9CDC7"/>
            <w:vAlign w:val="center"/>
          </w:tcPr>
          <w:p w14:paraId="69F2704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21%</w:t>
            </w:r>
          </w:p>
        </w:tc>
        <w:tc>
          <w:tcPr>
            <w:tcW w:w="628" w:type="dxa"/>
            <w:gridSpan w:val="2"/>
            <w:tcBorders>
              <w:left w:val="single" w:sz="18" w:space="0" w:color="254247"/>
            </w:tcBorders>
            <w:vAlign w:val="center"/>
          </w:tcPr>
          <w:p w14:paraId="14C9ED9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36%</w:t>
            </w:r>
          </w:p>
        </w:tc>
        <w:tc>
          <w:tcPr>
            <w:tcW w:w="745" w:type="dxa"/>
            <w:gridSpan w:val="3"/>
            <w:vAlign w:val="center"/>
          </w:tcPr>
          <w:p w14:paraId="21ABC01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27%</w:t>
            </w:r>
          </w:p>
        </w:tc>
        <w:tc>
          <w:tcPr>
            <w:tcW w:w="629" w:type="dxa"/>
            <w:gridSpan w:val="2"/>
            <w:shd w:val="clear" w:color="auto" w:fill="8BBAC3"/>
            <w:vAlign w:val="center"/>
          </w:tcPr>
          <w:p w14:paraId="54F5528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41%</w:t>
            </w:r>
          </w:p>
        </w:tc>
        <w:tc>
          <w:tcPr>
            <w:tcW w:w="629" w:type="dxa"/>
            <w:gridSpan w:val="2"/>
            <w:vAlign w:val="center"/>
          </w:tcPr>
          <w:p w14:paraId="626CD26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628" w:type="dxa"/>
            <w:gridSpan w:val="2"/>
            <w:vAlign w:val="center"/>
          </w:tcPr>
          <w:p w14:paraId="03D0717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33%</w:t>
            </w:r>
          </w:p>
        </w:tc>
        <w:tc>
          <w:tcPr>
            <w:tcW w:w="629" w:type="dxa"/>
            <w:gridSpan w:val="2"/>
            <w:vAlign w:val="center"/>
          </w:tcPr>
          <w:p w14:paraId="6E9DB6F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629" w:type="dxa"/>
            <w:gridSpan w:val="2"/>
            <w:vAlign w:val="center"/>
          </w:tcPr>
          <w:p w14:paraId="3381590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33%</w:t>
            </w:r>
          </w:p>
        </w:tc>
        <w:tc>
          <w:tcPr>
            <w:tcW w:w="628" w:type="dxa"/>
            <w:gridSpan w:val="2"/>
            <w:vAlign w:val="center"/>
          </w:tcPr>
          <w:p w14:paraId="0440609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20%</w:t>
            </w:r>
          </w:p>
        </w:tc>
        <w:tc>
          <w:tcPr>
            <w:tcW w:w="629" w:type="dxa"/>
            <w:gridSpan w:val="2"/>
            <w:shd w:val="clear" w:color="auto" w:fill="F9CDC7"/>
            <w:vAlign w:val="center"/>
          </w:tcPr>
          <w:p w14:paraId="34C669E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15%</w:t>
            </w:r>
          </w:p>
        </w:tc>
        <w:tc>
          <w:tcPr>
            <w:tcW w:w="629" w:type="dxa"/>
            <w:gridSpan w:val="2"/>
            <w:shd w:val="clear" w:color="auto" w:fill="F9CDC7"/>
            <w:vAlign w:val="center"/>
          </w:tcPr>
          <w:p w14:paraId="3AD9B61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19%</w:t>
            </w:r>
          </w:p>
        </w:tc>
        <w:tc>
          <w:tcPr>
            <w:tcW w:w="629" w:type="dxa"/>
            <w:gridSpan w:val="2"/>
            <w:vAlign w:val="center"/>
          </w:tcPr>
          <w:p w14:paraId="4D2B247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628" w:type="dxa"/>
            <w:gridSpan w:val="2"/>
            <w:vAlign w:val="center"/>
          </w:tcPr>
          <w:p w14:paraId="0B21AA3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29" w:type="dxa"/>
            <w:gridSpan w:val="2"/>
            <w:shd w:val="clear" w:color="auto" w:fill="8BBAC3"/>
            <w:vAlign w:val="center"/>
          </w:tcPr>
          <w:p w14:paraId="258CBFE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43%</w:t>
            </w:r>
          </w:p>
        </w:tc>
        <w:tc>
          <w:tcPr>
            <w:tcW w:w="483" w:type="dxa"/>
            <w:vAlign w:val="center"/>
          </w:tcPr>
          <w:p w14:paraId="23ABB1C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34%</w:t>
            </w:r>
          </w:p>
        </w:tc>
        <w:tc>
          <w:tcPr>
            <w:tcW w:w="567" w:type="dxa"/>
            <w:tcBorders>
              <w:right w:val="single" w:sz="12" w:space="0" w:color="8BBAC3"/>
            </w:tcBorders>
            <w:vAlign w:val="center"/>
          </w:tcPr>
          <w:p w14:paraId="0CD0E2F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r>
      <w:tr w:rsidR="0007053D" w:rsidRPr="0007053D" w14:paraId="30027A4F"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78AA543D"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Met physical activity guidelines</w:t>
            </w:r>
          </w:p>
        </w:tc>
        <w:tc>
          <w:tcPr>
            <w:tcW w:w="629" w:type="dxa"/>
            <w:vAlign w:val="center"/>
          </w:tcPr>
          <w:p w14:paraId="396EA79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67%</w:t>
            </w:r>
          </w:p>
        </w:tc>
        <w:tc>
          <w:tcPr>
            <w:tcW w:w="769" w:type="dxa"/>
            <w:gridSpan w:val="2"/>
            <w:vAlign w:val="center"/>
          </w:tcPr>
          <w:p w14:paraId="65210AD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66%</w:t>
            </w:r>
          </w:p>
        </w:tc>
        <w:tc>
          <w:tcPr>
            <w:tcW w:w="630" w:type="dxa"/>
            <w:tcBorders>
              <w:right w:val="single" w:sz="18" w:space="0" w:color="254247"/>
            </w:tcBorders>
            <w:vAlign w:val="center"/>
          </w:tcPr>
          <w:p w14:paraId="3FA923D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color w:val="F08374"/>
                <w:sz w:val="18"/>
                <w:szCs w:val="18"/>
              </w:rPr>
              <w:sym w:font="Wingdings" w:char="F0E8"/>
            </w:r>
          </w:p>
        </w:tc>
        <w:tc>
          <w:tcPr>
            <w:tcW w:w="665" w:type="dxa"/>
            <w:tcBorders>
              <w:left w:val="single" w:sz="18" w:space="0" w:color="254247"/>
            </w:tcBorders>
            <w:vAlign w:val="center"/>
          </w:tcPr>
          <w:p w14:paraId="56D1754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66%</w:t>
            </w:r>
          </w:p>
        </w:tc>
        <w:tc>
          <w:tcPr>
            <w:tcW w:w="681" w:type="dxa"/>
            <w:tcBorders>
              <w:right w:val="single" w:sz="18" w:space="0" w:color="254247"/>
            </w:tcBorders>
            <w:vAlign w:val="center"/>
          </w:tcPr>
          <w:p w14:paraId="3C8D142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68%</w:t>
            </w:r>
          </w:p>
        </w:tc>
        <w:tc>
          <w:tcPr>
            <w:tcW w:w="635" w:type="dxa"/>
            <w:gridSpan w:val="2"/>
            <w:tcBorders>
              <w:left w:val="single" w:sz="18" w:space="0" w:color="254247"/>
            </w:tcBorders>
            <w:shd w:val="clear" w:color="auto" w:fill="8BBAC3"/>
            <w:vAlign w:val="center"/>
          </w:tcPr>
          <w:p w14:paraId="0B4A596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68%</w:t>
            </w:r>
          </w:p>
        </w:tc>
        <w:tc>
          <w:tcPr>
            <w:tcW w:w="635" w:type="dxa"/>
            <w:gridSpan w:val="2"/>
            <w:shd w:val="clear" w:color="auto" w:fill="8BBAC3"/>
            <w:vAlign w:val="center"/>
          </w:tcPr>
          <w:p w14:paraId="3E54CAB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75%</w:t>
            </w:r>
          </w:p>
        </w:tc>
        <w:tc>
          <w:tcPr>
            <w:tcW w:w="635" w:type="dxa"/>
            <w:gridSpan w:val="2"/>
            <w:tcBorders>
              <w:right w:val="single" w:sz="18" w:space="0" w:color="254247"/>
            </w:tcBorders>
            <w:shd w:val="clear" w:color="auto" w:fill="F9CDC7"/>
            <w:vAlign w:val="center"/>
          </w:tcPr>
          <w:p w14:paraId="55F0AEF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60%</w:t>
            </w:r>
          </w:p>
        </w:tc>
        <w:tc>
          <w:tcPr>
            <w:tcW w:w="635" w:type="dxa"/>
            <w:gridSpan w:val="2"/>
            <w:tcBorders>
              <w:left w:val="single" w:sz="18" w:space="0" w:color="254247"/>
            </w:tcBorders>
            <w:vAlign w:val="center"/>
          </w:tcPr>
          <w:p w14:paraId="0D74D1D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70%</w:t>
            </w:r>
          </w:p>
        </w:tc>
        <w:tc>
          <w:tcPr>
            <w:tcW w:w="634" w:type="dxa"/>
            <w:shd w:val="clear" w:color="auto" w:fill="8BBAC3"/>
            <w:vAlign w:val="center"/>
          </w:tcPr>
          <w:p w14:paraId="55A3AB2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75%</w:t>
            </w:r>
          </w:p>
        </w:tc>
        <w:tc>
          <w:tcPr>
            <w:tcW w:w="635" w:type="dxa"/>
            <w:gridSpan w:val="2"/>
            <w:vAlign w:val="center"/>
          </w:tcPr>
          <w:p w14:paraId="02E8F26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60%</w:t>
            </w:r>
          </w:p>
        </w:tc>
        <w:tc>
          <w:tcPr>
            <w:tcW w:w="635" w:type="dxa"/>
            <w:gridSpan w:val="2"/>
            <w:vAlign w:val="center"/>
          </w:tcPr>
          <w:p w14:paraId="3DA7EBA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66%</w:t>
            </w:r>
          </w:p>
        </w:tc>
        <w:tc>
          <w:tcPr>
            <w:tcW w:w="635" w:type="dxa"/>
            <w:gridSpan w:val="2"/>
            <w:vAlign w:val="center"/>
          </w:tcPr>
          <w:p w14:paraId="6E07384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61%</w:t>
            </w:r>
          </w:p>
        </w:tc>
        <w:tc>
          <w:tcPr>
            <w:tcW w:w="634" w:type="dxa"/>
            <w:gridSpan w:val="2"/>
            <w:vAlign w:val="center"/>
          </w:tcPr>
          <w:p w14:paraId="26072D3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65%</w:t>
            </w:r>
          </w:p>
        </w:tc>
        <w:tc>
          <w:tcPr>
            <w:tcW w:w="635" w:type="dxa"/>
            <w:gridSpan w:val="2"/>
            <w:shd w:val="clear" w:color="auto" w:fill="8BBAC3"/>
            <w:vAlign w:val="center"/>
          </w:tcPr>
          <w:p w14:paraId="7C5EC25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74%</w:t>
            </w:r>
          </w:p>
        </w:tc>
        <w:tc>
          <w:tcPr>
            <w:tcW w:w="635" w:type="dxa"/>
            <w:gridSpan w:val="2"/>
            <w:vAlign w:val="center"/>
          </w:tcPr>
          <w:p w14:paraId="5A526D4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64%</w:t>
            </w:r>
          </w:p>
        </w:tc>
        <w:tc>
          <w:tcPr>
            <w:tcW w:w="635" w:type="dxa"/>
            <w:gridSpan w:val="2"/>
            <w:vAlign w:val="center"/>
          </w:tcPr>
          <w:p w14:paraId="273634F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75%</w:t>
            </w:r>
          </w:p>
        </w:tc>
        <w:tc>
          <w:tcPr>
            <w:tcW w:w="635" w:type="dxa"/>
            <w:gridSpan w:val="2"/>
            <w:vAlign w:val="center"/>
          </w:tcPr>
          <w:p w14:paraId="659A1C0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72%</w:t>
            </w:r>
          </w:p>
        </w:tc>
        <w:tc>
          <w:tcPr>
            <w:tcW w:w="634" w:type="dxa"/>
            <w:gridSpan w:val="2"/>
            <w:shd w:val="clear" w:color="auto" w:fill="F9CDC7"/>
            <w:vAlign w:val="center"/>
          </w:tcPr>
          <w:p w14:paraId="64330D6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50%</w:t>
            </w:r>
          </w:p>
        </w:tc>
        <w:tc>
          <w:tcPr>
            <w:tcW w:w="635" w:type="dxa"/>
            <w:gridSpan w:val="2"/>
            <w:vAlign w:val="center"/>
          </w:tcPr>
          <w:p w14:paraId="15959A0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59%</w:t>
            </w:r>
          </w:p>
        </w:tc>
        <w:tc>
          <w:tcPr>
            <w:tcW w:w="639" w:type="dxa"/>
            <w:gridSpan w:val="2"/>
            <w:vAlign w:val="center"/>
          </w:tcPr>
          <w:p w14:paraId="2743038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62%</w:t>
            </w:r>
          </w:p>
        </w:tc>
        <w:tc>
          <w:tcPr>
            <w:tcW w:w="498" w:type="dxa"/>
            <w:gridSpan w:val="2"/>
            <w:vAlign w:val="center"/>
          </w:tcPr>
          <w:p w14:paraId="50EBAEC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71%</w:t>
            </w:r>
          </w:p>
        </w:tc>
        <w:tc>
          <w:tcPr>
            <w:tcW w:w="567" w:type="dxa"/>
            <w:tcBorders>
              <w:right w:val="single" w:sz="12" w:space="0" w:color="8BBAC3"/>
            </w:tcBorders>
            <w:vAlign w:val="center"/>
          </w:tcPr>
          <w:p w14:paraId="7C9D0CD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60%</w:t>
            </w:r>
          </w:p>
        </w:tc>
      </w:tr>
      <w:tr w:rsidR="00A33EBF" w:rsidRPr="0007053D" w14:paraId="46671445"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A1AF93F"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lastRenderedPageBreak/>
              <w:t>BMI Obese</w:t>
            </w:r>
          </w:p>
        </w:tc>
        <w:tc>
          <w:tcPr>
            <w:tcW w:w="629" w:type="dxa"/>
            <w:vAlign w:val="center"/>
          </w:tcPr>
          <w:p w14:paraId="27D8C9D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31%</w:t>
            </w:r>
          </w:p>
        </w:tc>
        <w:tc>
          <w:tcPr>
            <w:tcW w:w="769" w:type="dxa"/>
            <w:gridSpan w:val="2"/>
            <w:vAlign w:val="center"/>
          </w:tcPr>
          <w:p w14:paraId="42C422C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630" w:type="dxa"/>
            <w:tcBorders>
              <w:right w:val="single" w:sz="18" w:space="0" w:color="254247"/>
            </w:tcBorders>
            <w:vAlign w:val="center"/>
          </w:tcPr>
          <w:p w14:paraId="79773F2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Arial"/>
                <w:color w:val="00B050"/>
                <w:sz w:val="18"/>
                <w:szCs w:val="18"/>
              </w:rPr>
              <w:sym w:font="Wingdings" w:char="F0EA"/>
            </w:r>
          </w:p>
        </w:tc>
        <w:tc>
          <w:tcPr>
            <w:tcW w:w="665" w:type="dxa"/>
            <w:tcBorders>
              <w:left w:val="single" w:sz="18" w:space="0" w:color="254247"/>
            </w:tcBorders>
            <w:vAlign w:val="center"/>
          </w:tcPr>
          <w:p w14:paraId="6EBE959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681" w:type="dxa"/>
            <w:tcBorders>
              <w:right w:val="single" w:sz="18" w:space="0" w:color="254247"/>
            </w:tcBorders>
            <w:vAlign w:val="center"/>
          </w:tcPr>
          <w:p w14:paraId="207E3E7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29%</w:t>
            </w:r>
          </w:p>
        </w:tc>
        <w:tc>
          <w:tcPr>
            <w:tcW w:w="635" w:type="dxa"/>
            <w:gridSpan w:val="2"/>
            <w:tcBorders>
              <w:left w:val="single" w:sz="18" w:space="0" w:color="254247"/>
            </w:tcBorders>
            <w:shd w:val="clear" w:color="auto" w:fill="F9CDC7"/>
            <w:vAlign w:val="center"/>
          </w:tcPr>
          <w:p w14:paraId="262E348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635" w:type="dxa"/>
            <w:gridSpan w:val="2"/>
            <w:vAlign w:val="center"/>
          </w:tcPr>
          <w:p w14:paraId="55A1800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25%</w:t>
            </w:r>
          </w:p>
        </w:tc>
        <w:tc>
          <w:tcPr>
            <w:tcW w:w="635" w:type="dxa"/>
            <w:gridSpan w:val="2"/>
            <w:tcBorders>
              <w:right w:val="single" w:sz="18" w:space="0" w:color="254247"/>
            </w:tcBorders>
            <w:shd w:val="clear" w:color="auto" w:fill="8BBAC3"/>
            <w:vAlign w:val="center"/>
          </w:tcPr>
          <w:p w14:paraId="2FB9386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31%</w:t>
            </w:r>
          </w:p>
        </w:tc>
        <w:tc>
          <w:tcPr>
            <w:tcW w:w="635" w:type="dxa"/>
            <w:gridSpan w:val="2"/>
            <w:tcBorders>
              <w:left w:val="single" w:sz="18" w:space="0" w:color="254247"/>
            </w:tcBorders>
            <w:vAlign w:val="center"/>
          </w:tcPr>
          <w:p w14:paraId="6FB49EA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32%</w:t>
            </w:r>
          </w:p>
        </w:tc>
        <w:tc>
          <w:tcPr>
            <w:tcW w:w="634" w:type="dxa"/>
            <w:shd w:val="clear" w:color="auto" w:fill="F9CDC7"/>
            <w:vAlign w:val="center"/>
          </w:tcPr>
          <w:p w14:paraId="7F3850F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19%</w:t>
            </w:r>
          </w:p>
        </w:tc>
        <w:tc>
          <w:tcPr>
            <w:tcW w:w="635" w:type="dxa"/>
            <w:gridSpan w:val="2"/>
            <w:vAlign w:val="center"/>
          </w:tcPr>
          <w:p w14:paraId="2E866F1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635" w:type="dxa"/>
            <w:gridSpan w:val="2"/>
            <w:vAlign w:val="center"/>
          </w:tcPr>
          <w:p w14:paraId="7660A61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35" w:type="dxa"/>
            <w:gridSpan w:val="2"/>
            <w:vAlign w:val="center"/>
          </w:tcPr>
          <w:p w14:paraId="74D086E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37%</w:t>
            </w:r>
          </w:p>
        </w:tc>
        <w:tc>
          <w:tcPr>
            <w:tcW w:w="634" w:type="dxa"/>
            <w:gridSpan w:val="2"/>
            <w:vAlign w:val="center"/>
          </w:tcPr>
          <w:p w14:paraId="7ED5833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34%</w:t>
            </w:r>
          </w:p>
        </w:tc>
        <w:tc>
          <w:tcPr>
            <w:tcW w:w="635" w:type="dxa"/>
            <w:gridSpan w:val="2"/>
            <w:vAlign w:val="center"/>
          </w:tcPr>
          <w:p w14:paraId="6017FA0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27%</w:t>
            </w:r>
          </w:p>
        </w:tc>
        <w:tc>
          <w:tcPr>
            <w:tcW w:w="635" w:type="dxa"/>
            <w:gridSpan w:val="2"/>
            <w:shd w:val="clear" w:color="auto" w:fill="F9CDC7"/>
            <w:vAlign w:val="center"/>
          </w:tcPr>
          <w:p w14:paraId="12E07E3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35" w:type="dxa"/>
            <w:gridSpan w:val="2"/>
            <w:shd w:val="clear" w:color="auto" w:fill="F9CDC7"/>
            <w:vAlign w:val="center"/>
          </w:tcPr>
          <w:p w14:paraId="495603D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13%</w:t>
            </w:r>
          </w:p>
        </w:tc>
        <w:tc>
          <w:tcPr>
            <w:tcW w:w="635" w:type="dxa"/>
            <w:gridSpan w:val="2"/>
            <w:vAlign w:val="center"/>
          </w:tcPr>
          <w:p w14:paraId="03DEAB2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c>
          <w:tcPr>
            <w:tcW w:w="634" w:type="dxa"/>
            <w:gridSpan w:val="2"/>
            <w:shd w:val="clear" w:color="auto" w:fill="8BBAC3"/>
            <w:vAlign w:val="center"/>
          </w:tcPr>
          <w:p w14:paraId="10597CD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31%</w:t>
            </w:r>
          </w:p>
        </w:tc>
        <w:tc>
          <w:tcPr>
            <w:tcW w:w="635" w:type="dxa"/>
            <w:gridSpan w:val="2"/>
            <w:vAlign w:val="center"/>
          </w:tcPr>
          <w:p w14:paraId="541642D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639" w:type="dxa"/>
            <w:gridSpan w:val="2"/>
            <w:vAlign w:val="center"/>
          </w:tcPr>
          <w:p w14:paraId="750F98B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41%</w:t>
            </w:r>
          </w:p>
        </w:tc>
        <w:tc>
          <w:tcPr>
            <w:tcW w:w="498" w:type="dxa"/>
            <w:gridSpan w:val="2"/>
            <w:vAlign w:val="center"/>
          </w:tcPr>
          <w:p w14:paraId="7263419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33%</w:t>
            </w:r>
          </w:p>
        </w:tc>
        <w:tc>
          <w:tcPr>
            <w:tcW w:w="567" w:type="dxa"/>
            <w:tcBorders>
              <w:right w:val="single" w:sz="12" w:space="0" w:color="8BBAC3"/>
            </w:tcBorders>
            <w:vAlign w:val="center"/>
          </w:tcPr>
          <w:p w14:paraId="64D7D08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36%</w:t>
            </w:r>
          </w:p>
        </w:tc>
      </w:tr>
      <w:tr w:rsidR="00A33EBF" w:rsidRPr="0007053D" w14:paraId="234F54EB"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7B817D5E"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Alcohol – long term risk</w:t>
            </w:r>
          </w:p>
        </w:tc>
        <w:tc>
          <w:tcPr>
            <w:tcW w:w="629" w:type="dxa"/>
            <w:vAlign w:val="center"/>
          </w:tcPr>
          <w:p w14:paraId="31B38B5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11%</w:t>
            </w:r>
          </w:p>
        </w:tc>
        <w:tc>
          <w:tcPr>
            <w:tcW w:w="769" w:type="dxa"/>
            <w:gridSpan w:val="2"/>
            <w:vAlign w:val="center"/>
          </w:tcPr>
          <w:p w14:paraId="4FF55CC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630" w:type="dxa"/>
            <w:tcBorders>
              <w:right w:val="single" w:sz="18" w:space="0" w:color="254247"/>
            </w:tcBorders>
            <w:vAlign w:val="center"/>
          </w:tcPr>
          <w:p w14:paraId="12F40AE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color w:val="F08374"/>
                <w:sz w:val="18"/>
                <w:szCs w:val="18"/>
              </w:rPr>
            </w:pPr>
            <w:r w:rsidRPr="0007053D">
              <w:rPr>
                <w:rFonts w:ascii="Avenir 65" w:hAnsi="Avenir 65" w:cs="Arial"/>
                <w:color w:val="FF0000"/>
                <w:sz w:val="18"/>
                <w:szCs w:val="18"/>
              </w:rPr>
              <w:sym w:font="Wingdings" w:char="F0E9"/>
            </w:r>
          </w:p>
        </w:tc>
        <w:tc>
          <w:tcPr>
            <w:tcW w:w="665" w:type="dxa"/>
            <w:tcBorders>
              <w:left w:val="single" w:sz="18" w:space="0" w:color="254247"/>
            </w:tcBorders>
            <w:shd w:val="clear" w:color="auto" w:fill="8BBAC3"/>
            <w:vAlign w:val="center"/>
          </w:tcPr>
          <w:p w14:paraId="375392B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c>
          <w:tcPr>
            <w:tcW w:w="681" w:type="dxa"/>
            <w:tcBorders>
              <w:right w:val="single" w:sz="18" w:space="0" w:color="254247"/>
            </w:tcBorders>
            <w:shd w:val="clear" w:color="auto" w:fill="F9CDC7"/>
            <w:vAlign w:val="center"/>
          </w:tcPr>
          <w:p w14:paraId="1C2F686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c>
          <w:tcPr>
            <w:tcW w:w="635" w:type="dxa"/>
            <w:gridSpan w:val="2"/>
            <w:tcBorders>
              <w:left w:val="single" w:sz="18" w:space="0" w:color="254247"/>
            </w:tcBorders>
            <w:shd w:val="clear" w:color="auto" w:fill="F9CDC7"/>
            <w:vAlign w:val="center"/>
          </w:tcPr>
          <w:p w14:paraId="61C59BB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13%</w:t>
            </w:r>
          </w:p>
        </w:tc>
        <w:tc>
          <w:tcPr>
            <w:tcW w:w="635" w:type="dxa"/>
            <w:gridSpan w:val="2"/>
            <w:shd w:val="clear" w:color="auto" w:fill="8BBAC3"/>
            <w:vAlign w:val="center"/>
          </w:tcPr>
          <w:p w14:paraId="74F3F3A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20%</w:t>
            </w:r>
          </w:p>
        </w:tc>
        <w:tc>
          <w:tcPr>
            <w:tcW w:w="635" w:type="dxa"/>
            <w:gridSpan w:val="2"/>
            <w:tcBorders>
              <w:right w:val="single" w:sz="18" w:space="0" w:color="254247"/>
            </w:tcBorders>
            <w:shd w:val="clear" w:color="auto" w:fill="8BBAC3"/>
            <w:vAlign w:val="center"/>
          </w:tcPr>
          <w:p w14:paraId="4DD739A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21%</w:t>
            </w:r>
          </w:p>
        </w:tc>
        <w:tc>
          <w:tcPr>
            <w:tcW w:w="635" w:type="dxa"/>
            <w:gridSpan w:val="2"/>
            <w:tcBorders>
              <w:left w:val="single" w:sz="18" w:space="0" w:color="254247"/>
            </w:tcBorders>
            <w:shd w:val="clear" w:color="auto" w:fill="F9CDC7"/>
            <w:vAlign w:val="center"/>
          </w:tcPr>
          <w:p w14:paraId="54CB18A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8%</w:t>
            </w:r>
          </w:p>
        </w:tc>
        <w:tc>
          <w:tcPr>
            <w:tcW w:w="634" w:type="dxa"/>
            <w:shd w:val="clear" w:color="auto" w:fill="8BBAC3"/>
            <w:vAlign w:val="center"/>
          </w:tcPr>
          <w:p w14:paraId="0E7E855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25%</w:t>
            </w:r>
          </w:p>
        </w:tc>
        <w:tc>
          <w:tcPr>
            <w:tcW w:w="635" w:type="dxa"/>
            <w:gridSpan w:val="2"/>
            <w:shd w:val="clear" w:color="auto" w:fill="8BBAC3"/>
            <w:vAlign w:val="center"/>
          </w:tcPr>
          <w:p w14:paraId="26CECC1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29%</w:t>
            </w:r>
          </w:p>
        </w:tc>
        <w:tc>
          <w:tcPr>
            <w:tcW w:w="635" w:type="dxa"/>
            <w:gridSpan w:val="2"/>
            <w:vAlign w:val="center"/>
          </w:tcPr>
          <w:p w14:paraId="6678C55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35" w:type="dxa"/>
            <w:gridSpan w:val="2"/>
            <w:vAlign w:val="center"/>
          </w:tcPr>
          <w:p w14:paraId="4237171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20%</w:t>
            </w:r>
          </w:p>
        </w:tc>
        <w:tc>
          <w:tcPr>
            <w:tcW w:w="634" w:type="dxa"/>
            <w:gridSpan w:val="2"/>
            <w:vAlign w:val="center"/>
          </w:tcPr>
          <w:p w14:paraId="567D6C3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21%</w:t>
            </w:r>
          </w:p>
        </w:tc>
        <w:tc>
          <w:tcPr>
            <w:tcW w:w="635" w:type="dxa"/>
            <w:gridSpan w:val="2"/>
            <w:vAlign w:val="center"/>
          </w:tcPr>
          <w:p w14:paraId="24ADC09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635" w:type="dxa"/>
            <w:gridSpan w:val="2"/>
            <w:shd w:val="clear" w:color="auto" w:fill="F9CDC7"/>
            <w:vAlign w:val="center"/>
          </w:tcPr>
          <w:p w14:paraId="38C3352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13%</w:t>
            </w:r>
          </w:p>
        </w:tc>
        <w:tc>
          <w:tcPr>
            <w:tcW w:w="635" w:type="dxa"/>
            <w:gridSpan w:val="2"/>
            <w:shd w:val="clear" w:color="auto" w:fill="F9CDC7"/>
            <w:vAlign w:val="center"/>
          </w:tcPr>
          <w:p w14:paraId="33DC000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c>
          <w:tcPr>
            <w:tcW w:w="635" w:type="dxa"/>
            <w:gridSpan w:val="2"/>
            <w:shd w:val="clear" w:color="auto" w:fill="8BBAC3"/>
            <w:vAlign w:val="center"/>
          </w:tcPr>
          <w:p w14:paraId="19F8D51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34" w:type="dxa"/>
            <w:gridSpan w:val="2"/>
            <w:vAlign w:val="center"/>
          </w:tcPr>
          <w:p w14:paraId="7A14C6E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13%</w:t>
            </w:r>
          </w:p>
        </w:tc>
        <w:tc>
          <w:tcPr>
            <w:tcW w:w="635" w:type="dxa"/>
            <w:gridSpan w:val="2"/>
            <w:vAlign w:val="center"/>
          </w:tcPr>
          <w:p w14:paraId="0A20429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639" w:type="dxa"/>
            <w:gridSpan w:val="2"/>
            <w:vAlign w:val="center"/>
          </w:tcPr>
          <w:p w14:paraId="12A6B82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10%</w:t>
            </w:r>
          </w:p>
        </w:tc>
        <w:tc>
          <w:tcPr>
            <w:tcW w:w="498" w:type="dxa"/>
            <w:gridSpan w:val="2"/>
            <w:vAlign w:val="center"/>
          </w:tcPr>
          <w:p w14:paraId="20F467B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15%</w:t>
            </w:r>
          </w:p>
        </w:tc>
        <w:tc>
          <w:tcPr>
            <w:tcW w:w="567" w:type="dxa"/>
            <w:tcBorders>
              <w:right w:val="single" w:sz="12" w:space="0" w:color="8BBAC3"/>
            </w:tcBorders>
            <w:vAlign w:val="center"/>
          </w:tcPr>
          <w:p w14:paraId="5B3BE1B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r>
      <w:tr w:rsidR="00A33EBF" w:rsidRPr="0007053D" w14:paraId="39BDFE9E"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57985A0"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Alcohol – short term risk</w:t>
            </w:r>
          </w:p>
        </w:tc>
        <w:tc>
          <w:tcPr>
            <w:tcW w:w="629" w:type="dxa"/>
            <w:vAlign w:val="center"/>
          </w:tcPr>
          <w:p w14:paraId="1208253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14%</w:t>
            </w:r>
          </w:p>
        </w:tc>
        <w:tc>
          <w:tcPr>
            <w:tcW w:w="769" w:type="dxa"/>
            <w:gridSpan w:val="2"/>
            <w:vAlign w:val="center"/>
          </w:tcPr>
          <w:p w14:paraId="5D87890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11%</w:t>
            </w:r>
          </w:p>
        </w:tc>
        <w:tc>
          <w:tcPr>
            <w:tcW w:w="630" w:type="dxa"/>
            <w:tcBorders>
              <w:right w:val="single" w:sz="18" w:space="0" w:color="254247"/>
            </w:tcBorders>
            <w:vAlign w:val="center"/>
          </w:tcPr>
          <w:p w14:paraId="33A02B7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color w:val="F08374"/>
                <w:sz w:val="18"/>
                <w:szCs w:val="18"/>
              </w:rPr>
            </w:pPr>
            <w:r w:rsidRPr="0007053D">
              <w:rPr>
                <w:rFonts w:ascii="Avenir 65" w:hAnsi="Avenir 65" w:cs="Arial"/>
                <w:color w:val="00B050"/>
                <w:sz w:val="18"/>
                <w:szCs w:val="18"/>
              </w:rPr>
              <w:sym w:font="Wingdings" w:char="F0EA"/>
            </w:r>
          </w:p>
        </w:tc>
        <w:tc>
          <w:tcPr>
            <w:tcW w:w="665" w:type="dxa"/>
            <w:tcBorders>
              <w:left w:val="single" w:sz="18" w:space="0" w:color="254247"/>
            </w:tcBorders>
            <w:shd w:val="clear" w:color="auto" w:fill="8BBAC3"/>
            <w:vAlign w:val="center"/>
          </w:tcPr>
          <w:p w14:paraId="22B0DD0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c>
          <w:tcPr>
            <w:tcW w:w="681" w:type="dxa"/>
            <w:tcBorders>
              <w:right w:val="single" w:sz="18" w:space="0" w:color="254247"/>
            </w:tcBorders>
            <w:shd w:val="clear" w:color="auto" w:fill="F9CDC7"/>
            <w:vAlign w:val="center"/>
          </w:tcPr>
          <w:p w14:paraId="761C637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w:t>
            </w:r>
          </w:p>
        </w:tc>
        <w:tc>
          <w:tcPr>
            <w:tcW w:w="635" w:type="dxa"/>
            <w:gridSpan w:val="2"/>
            <w:tcBorders>
              <w:left w:val="single" w:sz="18" w:space="0" w:color="254247"/>
            </w:tcBorders>
            <w:shd w:val="clear" w:color="auto" w:fill="8BBAC3"/>
            <w:vAlign w:val="center"/>
          </w:tcPr>
          <w:p w14:paraId="3A205A6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c>
          <w:tcPr>
            <w:tcW w:w="635" w:type="dxa"/>
            <w:gridSpan w:val="2"/>
            <w:shd w:val="clear" w:color="auto" w:fill="F9CDC7"/>
            <w:vAlign w:val="center"/>
          </w:tcPr>
          <w:p w14:paraId="063894E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10%</w:t>
            </w:r>
          </w:p>
        </w:tc>
        <w:tc>
          <w:tcPr>
            <w:tcW w:w="635" w:type="dxa"/>
            <w:gridSpan w:val="2"/>
            <w:tcBorders>
              <w:right w:val="single" w:sz="18" w:space="0" w:color="254247"/>
            </w:tcBorders>
            <w:shd w:val="clear" w:color="auto" w:fill="F9CDC7"/>
            <w:vAlign w:val="center"/>
          </w:tcPr>
          <w:p w14:paraId="43B5554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w:t>
            </w:r>
          </w:p>
        </w:tc>
        <w:tc>
          <w:tcPr>
            <w:tcW w:w="635" w:type="dxa"/>
            <w:gridSpan w:val="2"/>
            <w:tcBorders>
              <w:left w:val="single" w:sz="18" w:space="0" w:color="254247"/>
            </w:tcBorders>
            <w:shd w:val="clear" w:color="auto" w:fill="8BBAC3"/>
            <w:vAlign w:val="center"/>
          </w:tcPr>
          <w:p w14:paraId="1E96870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14%</w:t>
            </w:r>
          </w:p>
        </w:tc>
        <w:tc>
          <w:tcPr>
            <w:tcW w:w="634" w:type="dxa"/>
            <w:shd w:val="clear" w:color="auto" w:fill="F9CDC7"/>
            <w:vAlign w:val="center"/>
          </w:tcPr>
          <w:p w14:paraId="0FC7BEE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8%</w:t>
            </w:r>
          </w:p>
        </w:tc>
        <w:tc>
          <w:tcPr>
            <w:tcW w:w="635" w:type="dxa"/>
            <w:gridSpan w:val="2"/>
            <w:shd w:val="clear" w:color="auto" w:fill="8BBAC3"/>
            <w:vAlign w:val="center"/>
          </w:tcPr>
          <w:p w14:paraId="7CF3CB8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35" w:type="dxa"/>
            <w:gridSpan w:val="2"/>
            <w:vAlign w:val="center"/>
          </w:tcPr>
          <w:p w14:paraId="2FD406E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w:t>
            </w:r>
          </w:p>
        </w:tc>
        <w:tc>
          <w:tcPr>
            <w:tcW w:w="635" w:type="dxa"/>
            <w:gridSpan w:val="2"/>
            <w:vAlign w:val="center"/>
          </w:tcPr>
          <w:p w14:paraId="7419DEB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634" w:type="dxa"/>
            <w:gridSpan w:val="2"/>
            <w:vAlign w:val="center"/>
          </w:tcPr>
          <w:p w14:paraId="1F8172D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c>
          <w:tcPr>
            <w:tcW w:w="635" w:type="dxa"/>
            <w:gridSpan w:val="2"/>
            <w:shd w:val="clear" w:color="auto" w:fill="8BBAC3"/>
            <w:vAlign w:val="center"/>
          </w:tcPr>
          <w:p w14:paraId="4420494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c>
          <w:tcPr>
            <w:tcW w:w="635" w:type="dxa"/>
            <w:gridSpan w:val="2"/>
            <w:shd w:val="clear" w:color="auto" w:fill="F9CDC7"/>
            <w:vAlign w:val="center"/>
          </w:tcPr>
          <w:p w14:paraId="25A6E23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w:t>
            </w:r>
          </w:p>
        </w:tc>
        <w:tc>
          <w:tcPr>
            <w:tcW w:w="635" w:type="dxa"/>
            <w:gridSpan w:val="2"/>
            <w:vAlign w:val="center"/>
          </w:tcPr>
          <w:p w14:paraId="0E41E44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w:t>
            </w:r>
          </w:p>
        </w:tc>
        <w:tc>
          <w:tcPr>
            <w:tcW w:w="635" w:type="dxa"/>
            <w:gridSpan w:val="2"/>
            <w:shd w:val="clear" w:color="auto" w:fill="8BBAC3"/>
            <w:vAlign w:val="center"/>
          </w:tcPr>
          <w:p w14:paraId="10E022E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19%</w:t>
            </w:r>
          </w:p>
        </w:tc>
        <w:tc>
          <w:tcPr>
            <w:tcW w:w="634" w:type="dxa"/>
            <w:gridSpan w:val="2"/>
            <w:shd w:val="clear" w:color="auto" w:fill="F9CDC7"/>
            <w:vAlign w:val="center"/>
          </w:tcPr>
          <w:p w14:paraId="01A7FC5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w:t>
            </w:r>
          </w:p>
        </w:tc>
        <w:tc>
          <w:tcPr>
            <w:tcW w:w="635" w:type="dxa"/>
            <w:gridSpan w:val="2"/>
            <w:vAlign w:val="center"/>
          </w:tcPr>
          <w:p w14:paraId="248787B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8%</w:t>
            </w:r>
          </w:p>
        </w:tc>
        <w:tc>
          <w:tcPr>
            <w:tcW w:w="639" w:type="dxa"/>
            <w:gridSpan w:val="2"/>
            <w:vAlign w:val="center"/>
          </w:tcPr>
          <w:p w14:paraId="7E6D6A1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11%</w:t>
            </w:r>
          </w:p>
        </w:tc>
        <w:tc>
          <w:tcPr>
            <w:tcW w:w="498" w:type="dxa"/>
            <w:gridSpan w:val="2"/>
            <w:vAlign w:val="center"/>
          </w:tcPr>
          <w:p w14:paraId="468BE31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9%</w:t>
            </w:r>
          </w:p>
        </w:tc>
        <w:tc>
          <w:tcPr>
            <w:tcW w:w="567" w:type="dxa"/>
            <w:tcBorders>
              <w:right w:val="single" w:sz="12" w:space="0" w:color="8BBAC3"/>
            </w:tcBorders>
            <w:vAlign w:val="center"/>
          </w:tcPr>
          <w:p w14:paraId="7F92B1D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11%</w:t>
            </w:r>
          </w:p>
        </w:tc>
      </w:tr>
      <w:tr w:rsidR="0007053D" w:rsidRPr="0007053D" w14:paraId="26C5C4D0" w14:textId="77777777" w:rsidTr="0007053D">
        <w:trPr>
          <w:trHeight w:val="302"/>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48DDC824"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Smoker</w:t>
            </w:r>
          </w:p>
        </w:tc>
        <w:tc>
          <w:tcPr>
            <w:tcW w:w="629" w:type="dxa"/>
            <w:vAlign w:val="center"/>
          </w:tcPr>
          <w:p w14:paraId="7F53F79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sz w:val="18"/>
                <w:szCs w:val="18"/>
              </w:rPr>
            </w:pPr>
            <w:r w:rsidRPr="0007053D">
              <w:rPr>
                <w:rFonts w:ascii="Avenir 65" w:hAnsi="Avenir 65" w:cs="Times New Roman"/>
                <w:sz w:val="18"/>
                <w:szCs w:val="18"/>
              </w:rPr>
              <w:t>14%</w:t>
            </w:r>
          </w:p>
        </w:tc>
        <w:tc>
          <w:tcPr>
            <w:tcW w:w="769" w:type="dxa"/>
            <w:gridSpan w:val="2"/>
            <w:vAlign w:val="center"/>
          </w:tcPr>
          <w:p w14:paraId="534F9A3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10%</w:t>
            </w:r>
          </w:p>
        </w:tc>
        <w:tc>
          <w:tcPr>
            <w:tcW w:w="630" w:type="dxa"/>
            <w:tcBorders>
              <w:right w:val="single" w:sz="18" w:space="0" w:color="254247"/>
            </w:tcBorders>
            <w:vAlign w:val="center"/>
          </w:tcPr>
          <w:p w14:paraId="2FDB981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b/>
                <w:bCs/>
                <w:color w:val="F08374"/>
                <w:sz w:val="18"/>
                <w:szCs w:val="18"/>
              </w:rPr>
            </w:pPr>
            <w:r w:rsidRPr="0007053D">
              <w:rPr>
                <w:rFonts w:ascii="Avenir 65" w:hAnsi="Avenir 65" w:cs="Arial"/>
                <w:b/>
                <w:bCs/>
                <w:color w:val="F08374"/>
                <w:sz w:val="18"/>
                <w:szCs w:val="18"/>
              </w:rPr>
              <w:t>**</w:t>
            </w:r>
          </w:p>
        </w:tc>
        <w:tc>
          <w:tcPr>
            <w:tcW w:w="665" w:type="dxa"/>
            <w:tcBorders>
              <w:left w:val="single" w:sz="18" w:space="0" w:color="254247"/>
            </w:tcBorders>
            <w:shd w:val="clear" w:color="auto" w:fill="8BBAC3"/>
            <w:vAlign w:val="center"/>
          </w:tcPr>
          <w:p w14:paraId="1666134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12%</w:t>
            </w:r>
          </w:p>
        </w:tc>
        <w:tc>
          <w:tcPr>
            <w:tcW w:w="681" w:type="dxa"/>
            <w:tcBorders>
              <w:right w:val="single" w:sz="18" w:space="0" w:color="254247"/>
            </w:tcBorders>
            <w:shd w:val="clear" w:color="auto" w:fill="F9CDC7"/>
            <w:vAlign w:val="center"/>
          </w:tcPr>
          <w:p w14:paraId="64FE66B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w:t>
            </w:r>
          </w:p>
        </w:tc>
        <w:tc>
          <w:tcPr>
            <w:tcW w:w="635" w:type="dxa"/>
            <w:gridSpan w:val="2"/>
            <w:tcBorders>
              <w:left w:val="single" w:sz="18" w:space="0" w:color="254247"/>
            </w:tcBorders>
            <w:shd w:val="clear" w:color="auto" w:fill="F9CDC7"/>
            <w:vAlign w:val="center"/>
          </w:tcPr>
          <w:p w14:paraId="0EB7E8E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5" w:type="dxa"/>
            <w:gridSpan w:val="2"/>
            <w:shd w:val="clear" w:color="auto" w:fill="8BBAC3"/>
            <w:vAlign w:val="center"/>
          </w:tcPr>
          <w:p w14:paraId="406EBF0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635" w:type="dxa"/>
            <w:gridSpan w:val="2"/>
            <w:tcBorders>
              <w:right w:val="single" w:sz="18" w:space="0" w:color="254247"/>
            </w:tcBorders>
            <w:shd w:val="clear" w:color="auto" w:fill="F9CDC7"/>
            <w:vAlign w:val="center"/>
          </w:tcPr>
          <w:p w14:paraId="73A2887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5" w:type="dxa"/>
            <w:gridSpan w:val="2"/>
            <w:tcBorders>
              <w:left w:val="single" w:sz="18" w:space="0" w:color="254247"/>
            </w:tcBorders>
            <w:vAlign w:val="center"/>
          </w:tcPr>
          <w:p w14:paraId="3D59334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4" w:type="dxa"/>
            <w:vAlign w:val="center"/>
          </w:tcPr>
          <w:p w14:paraId="2211687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10%</w:t>
            </w:r>
          </w:p>
        </w:tc>
        <w:tc>
          <w:tcPr>
            <w:tcW w:w="635" w:type="dxa"/>
            <w:gridSpan w:val="2"/>
            <w:vAlign w:val="center"/>
          </w:tcPr>
          <w:p w14:paraId="10E0604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5" w:type="dxa"/>
            <w:gridSpan w:val="2"/>
            <w:vAlign w:val="center"/>
          </w:tcPr>
          <w:p w14:paraId="0AD9C07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vAlign w:val="center"/>
          </w:tcPr>
          <w:p w14:paraId="5EB830D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11%</w:t>
            </w:r>
          </w:p>
        </w:tc>
        <w:tc>
          <w:tcPr>
            <w:tcW w:w="634" w:type="dxa"/>
            <w:gridSpan w:val="2"/>
            <w:vAlign w:val="center"/>
          </w:tcPr>
          <w:p w14:paraId="5B36DC7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16%</w:t>
            </w:r>
          </w:p>
        </w:tc>
        <w:tc>
          <w:tcPr>
            <w:tcW w:w="635" w:type="dxa"/>
            <w:gridSpan w:val="2"/>
            <w:vAlign w:val="center"/>
          </w:tcPr>
          <w:p w14:paraId="62B4565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12%</w:t>
            </w:r>
          </w:p>
        </w:tc>
        <w:tc>
          <w:tcPr>
            <w:tcW w:w="635" w:type="dxa"/>
            <w:gridSpan w:val="2"/>
            <w:vAlign w:val="center"/>
          </w:tcPr>
          <w:p w14:paraId="3B61E9C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vAlign w:val="center"/>
          </w:tcPr>
          <w:p w14:paraId="36534A4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vAlign w:val="center"/>
          </w:tcPr>
          <w:p w14:paraId="3455090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4" w:type="dxa"/>
            <w:gridSpan w:val="2"/>
            <w:vAlign w:val="center"/>
          </w:tcPr>
          <w:p w14:paraId="3D47B10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5" w:type="dxa"/>
            <w:gridSpan w:val="2"/>
            <w:vAlign w:val="center"/>
          </w:tcPr>
          <w:p w14:paraId="025F137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639" w:type="dxa"/>
            <w:gridSpan w:val="2"/>
            <w:vAlign w:val="center"/>
          </w:tcPr>
          <w:p w14:paraId="147A7F5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16%</w:t>
            </w:r>
          </w:p>
        </w:tc>
        <w:tc>
          <w:tcPr>
            <w:tcW w:w="498" w:type="dxa"/>
            <w:gridSpan w:val="2"/>
            <w:vAlign w:val="center"/>
          </w:tcPr>
          <w:p w14:paraId="3A75096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567" w:type="dxa"/>
            <w:tcBorders>
              <w:right w:val="single" w:sz="12" w:space="0" w:color="8BBAC3"/>
            </w:tcBorders>
            <w:vAlign w:val="center"/>
          </w:tcPr>
          <w:p w14:paraId="36F66D2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r>
      <w:tr w:rsidR="00A33EBF" w:rsidRPr="0007053D" w14:paraId="7EB34430"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C1C2506"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Have someone to rely on in emergency</w:t>
            </w:r>
          </w:p>
        </w:tc>
        <w:tc>
          <w:tcPr>
            <w:tcW w:w="629" w:type="dxa"/>
            <w:vAlign w:val="center"/>
          </w:tcPr>
          <w:p w14:paraId="2EC5194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sz w:val="18"/>
                <w:szCs w:val="18"/>
              </w:rPr>
            </w:pPr>
            <w:r w:rsidRPr="0007053D">
              <w:rPr>
                <w:rFonts w:ascii="Avenir 65" w:hAnsi="Avenir 65" w:cs="Times New Roman"/>
                <w:sz w:val="18"/>
                <w:szCs w:val="18"/>
              </w:rPr>
              <w:t>89%</w:t>
            </w:r>
          </w:p>
        </w:tc>
        <w:tc>
          <w:tcPr>
            <w:tcW w:w="769" w:type="dxa"/>
            <w:gridSpan w:val="2"/>
            <w:vAlign w:val="center"/>
          </w:tcPr>
          <w:p w14:paraId="5A67277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84%</w:t>
            </w:r>
          </w:p>
        </w:tc>
        <w:tc>
          <w:tcPr>
            <w:tcW w:w="630" w:type="dxa"/>
            <w:tcBorders>
              <w:right w:val="single" w:sz="18" w:space="0" w:color="254247"/>
            </w:tcBorders>
            <w:vAlign w:val="center"/>
          </w:tcPr>
          <w:p w14:paraId="42629B7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F08374"/>
                <w:sz w:val="18"/>
                <w:szCs w:val="18"/>
              </w:rPr>
            </w:pPr>
            <w:r w:rsidRPr="0007053D">
              <w:rPr>
                <w:rFonts w:ascii="Avenir 65" w:hAnsi="Avenir 65" w:cs="Arial"/>
                <w:color w:val="FF0000"/>
                <w:sz w:val="18"/>
                <w:szCs w:val="18"/>
              </w:rPr>
              <w:sym w:font="Wingdings" w:char="F0EA"/>
            </w:r>
          </w:p>
        </w:tc>
        <w:tc>
          <w:tcPr>
            <w:tcW w:w="665" w:type="dxa"/>
            <w:tcBorders>
              <w:left w:val="single" w:sz="18" w:space="0" w:color="254247"/>
            </w:tcBorders>
            <w:vAlign w:val="center"/>
          </w:tcPr>
          <w:p w14:paraId="5BF2C86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84%</w:t>
            </w:r>
          </w:p>
        </w:tc>
        <w:tc>
          <w:tcPr>
            <w:tcW w:w="681" w:type="dxa"/>
            <w:tcBorders>
              <w:right w:val="single" w:sz="18" w:space="0" w:color="254247"/>
            </w:tcBorders>
            <w:vAlign w:val="center"/>
          </w:tcPr>
          <w:p w14:paraId="0BFFA6D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86%</w:t>
            </w:r>
          </w:p>
        </w:tc>
        <w:tc>
          <w:tcPr>
            <w:tcW w:w="635" w:type="dxa"/>
            <w:gridSpan w:val="2"/>
            <w:tcBorders>
              <w:left w:val="single" w:sz="18" w:space="0" w:color="254247"/>
            </w:tcBorders>
            <w:shd w:val="clear" w:color="auto" w:fill="8BBAC3"/>
            <w:vAlign w:val="center"/>
          </w:tcPr>
          <w:p w14:paraId="69AF294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91%</w:t>
            </w:r>
          </w:p>
        </w:tc>
        <w:tc>
          <w:tcPr>
            <w:tcW w:w="635" w:type="dxa"/>
            <w:gridSpan w:val="2"/>
            <w:shd w:val="clear" w:color="auto" w:fill="F9CDC7"/>
            <w:vAlign w:val="center"/>
          </w:tcPr>
          <w:p w14:paraId="7FCFF0C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79%</w:t>
            </w:r>
          </w:p>
        </w:tc>
        <w:tc>
          <w:tcPr>
            <w:tcW w:w="635" w:type="dxa"/>
            <w:gridSpan w:val="2"/>
            <w:tcBorders>
              <w:right w:val="single" w:sz="18" w:space="0" w:color="254247"/>
            </w:tcBorders>
            <w:shd w:val="clear" w:color="auto" w:fill="F9CDC7"/>
            <w:vAlign w:val="center"/>
          </w:tcPr>
          <w:p w14:paraId="67549D3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84%</w:t>
            </w:r>
          </w:p>
        </w:tc>
        <w:tc>
          <w:tcPr>
            <w:tcW w:w="635" w:type="dxa"/>
            <w:gridSpan w:val="2"/>
            <w:tcBorders>
              <w:left w:val="single" w:sz="18" w:space="0" w:color="254247"/>
            </w:tcBorders>
            <w:vAlign w:val="center"/>
          </w:tcPr>
          <w:p w14:paraId="341F42B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83%</w:t>
            </w:r>
          </w:p>
        </w:tc>
        <w:tc>
          <w:tcPr>
            <w:tcW w:w="634" w:type="dxa"/>
            <w:shd w:val="clear" w:color="auto" w:fill="8BBAC3"/>
            <w:vAlign w:val="center"/>
          </w:tcPr>
          <w:p w14:paraId="2E4FE94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92%</w:t>
            </w:r>
          </w:p>
        </w:tc>
        <w:tc>
          <w:tcPr>
            <w:tcW w:w="635" w:type="dxa"/>
            <w:gridSpan w:val="2"/>
            <w:vAlign w:val="center"/>
          </w:tcPr>
          <w:p w14:paraId="4AB557D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85%</w:t>
            </w:r>
          </w:p>
        </w:tc>
        <w:tc>
          <w:tcPr>
            <w:tcW w:w="635" w:type="dxa"/>
            <w:gridSpan w:val="2"/>
            <w:shd w:val="clear" w:color="auto" w:fill="F9CDC7"/>
            <w:vAlign w:val="center"/>
          </w:tcPr>
          <w:p w14:paraId="29F756B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74%</w:t>
            </w:r>
          </w:p>
        </w:tc>
        <w:tc>
          <w:tcPr>
            <w:tcW w:w="635" w:type="dxa"/>
            <w:gridSpan w:val="2"/>
            <w:vAlign w:val="center"/>
          </w:tcPr>
          <w:p w14:paraId="10C6067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85%</w:t>
            </w:r>
          </w:p>
        </w:tc>
        <w:tc>
          <w:tcPr>
            <w:tcW w:w="634" w:type="dxa"/>
            <w:gridSpan w:val="2"/>
            <w:vAlign w:val="center"/>
          </w:tcPr>
          <w:p w14:paraId="17F1E8B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81%</w:t>
            </w:r>
          </w:p>
        </w:tc>
        <w:tc>
          <w:tcPr>
            <w:tcW w:w="635" w:type="dxa"/>
            <w:gridSpan w:val="2"/>
            <w:vAlign w:val="center"/>
          </w:tcPr>
          <w:p w14:paraId="367A12F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89%</w:t>
            </w:r>
          </w:p>
        </w:tc>
        <w:tc>
          <w:tcPr>
            <w:tcW w:w="635" w:type="dxa"/>
            <w:gridSpan w:val="2"/>
            <w:vAlign w:val="center"/>
          </w:tcPr>
          <w:p w14:paraId="04358C8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81%</w:t>
            </w:r>
          </w:p>
        </w:tc>
        <w:tc>
          <w:tcPr>
            <w:tcW w:w="635" w:type="dxa"/>
            <w:gridSpan w:val="2"/>
            <w:vAlign w:val="center"/>
          </w:tcPr>
          <w:p w14:paraId="155DF7B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88%</w:t>
            </w:r>
          </w:p>
        </w:tc>
        <w:tc>
          <w:tcPr>
            <w:tcW w:w="635" w:type="dxa"/>
            <w:gridSpan w:val="2"/>
            <w:vAlign w:val="center"/>
          </w:tcPr>
          <w:p w14:paraId="50F59A1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90%</w:t>
            </w:r>
          </w:p>
        </w:tc>
        <w:tc>
          <w:tcPr>
            <w:tcW w:w="634" w:type="dxa"/>
            <w:gridSpan w:val="2"/>
            <w:vAlign w:val="center"/>
          </w:tcPr>
          <w:p w14:paraId="792590C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84%</w:t>
            </w:r>
          </w:p>
        </w:tc>
        <w:tc>
          <w:tcPr>
            <w:tcW w:w="635" w:type="dxa"/>
            <w:gridSpan w:val="2"/>
            <w:vAlign w:val="center"/>
          </w:tcPr>
          <w:p w14:paraId="312F875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90%</w:t>
            </w:r>
          </w:p>
        </w:tc>
        <w:tc>
          <w:tcPr>
            <w:tcW w:w="639" w:type="dxa"/>
            <w:gridSpan w:val="2"/>
            <w:vAlign w:val="center"/>
          </w:tcPr>
          <w:p w14:paraId="07671FA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81%</w:t>
            </w:r>
          </w:p>
        </w:tc>
        <w:tc>
          <w:tcPr>
            <w:tcW w:w="498" w:type="dxa"/>
            <w:gridSpan w:val="2"/>
            <w:vAlign w:val="center"/>
          </w:tcPr>
          <w:p w14:paraId="1A35C20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80%</w:t>
            </w:r>
          </w:p>
        </w:tc>
        <w:tc>
          <w:tcPr>
            <w:tcW w:w="567" w:type="dxa"/>
            <w:tcBorders>
              <w:right w:val="single" w:sz="12" w:space="0" w:color="8BBAC3"/>
            </w:tcBorders>
            <w:vAlign w:val="center"/>
          </w:tcPr>
          <w:p w14:paraId="1B614C2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71%</w:t>
            </w:r>
          </w:p>
        </w:tc>
      </w:tr>
      <w:tr w:rsidR="00A33EBF" w:rsidRPr="0007053D" w14:paraId="30453392"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3E4BE557"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Could source $2k in 2 days</w:t>
            </w:r>
          </w:p>
        </w:tc>
        <w:tc>
          <w:tcPr>
            <w:tcW w:w="629" w:type="dxa"/>
            <w:vAlign w:val="center"/>
          </w:tcPr>
          <w:p w14:paraId="00AA16D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sz w:val="18"/>
                <w:szCs w:val="18"/>
              </w:rPr>
            </w:pPr>
            <w:r w:rsidRPr="0007053D">
              <w:rPr>
                <w:rFonts w:ascii="Avenir 65" w:hAnsi="Avenir 65" w:cs="Arial"/>
                <w:sz w:val="18"/>
                <w:szCs w:val="18"/>
              </w:rPr>
              <w:t>85%</w:t>
            </w:r>
          </w:p>
        </w:tc>
        <w:tc>
          <w:tcPr>
            <w:tcW w:w="769" w:type="dxa"/>
            <w:gridSpan w:val="2"/>
            <w:vAlign w:val="center"/>
          </w:tcPr>
          <w:p w14:paraId="183B26F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80%</w:t>
            </w:r>
          </w:p>
        </w:tc>
        <w:tc>
          <w:tcPr>
            <w:tcW w:w="630" w:type="dxa"/>
            <w:tcBorders>
              <w:right w:val="single" w:sz="18" w:space="0" w:color="254247"/>
            </w:tcBorders>
            <w:vAlign w:val="center"/>
          </w:tcPr>
          <w:p w14:paraId="305200E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FF0000"/>
                <w:sz w:val="18"/>
                <w:szCs w:val="18"/>
              </w:rPr>
            </w:pPr>
            <w:r w:rsidRPr="0007053D">
              <w:rPr>
                <w:rFonts w:ascii="Avenir 65" w:hAnsi="Avenir 65" w:cs="Arial"/>
                <w:color w:val="FF0000"/>
                <w:sz w:val="18"/>
                <w:szCs w:val="18"/>
              </w:rPr>
              <w:sym w:font="Wingdings" w:char="F0EA"/>
            </w:r>
          </w:p>
        </w:tc>
        <w:tc>
          <w:tcPr>
            <w:tcW w:w="665" w:type="dxa"/>
            <w:tcBorders>
              <w:left w:val="single" w:sz="18" w:space="0" w:color="254247"/>
            </w:tcBorders>
            <w:shd w:val="clear" w:color="auto" w:fill="8BBAC3"/>
            <w:vAlign w:val="center"/>
          </w:tcPr>
          <w:p w14:paraId="54F8C3D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84%</w:t>
            </w:r>
          </w:p>
        </w:tc>
        <w:tc>
          <w:tcPr>
            <w:tcW w:w="681" w:type="dxa"/>
            <w:tcBorders>
              <w:right w:val="single" w:sz="18" w:space="0" w:color="254247"/>
            </w:tcBorders>
            <w:shd w:val="clear" w:color="auto" w:fill="F9CDC7"/>
            <w:vAlign w:val="center"/>
          </w:tcPr>
          <w:p w14:paraId="667D05B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78%</w:t>
            </w:r>
          </w:p>
        </w:tc>
        <w:tc>
          <w:tcPr>
            <w:tcW w:w="635" w:type="dxa"/>
            <w:gridSpan w:val="2"/>
            <w:tcBorders>
              <w:left w:val="single" w:sz="18" w:space="0" w:color="254247"/>
            </w:tcBorders>
            <w:shd w:val="clear" w:color="auto" w:fill="8BBAC3"/>
            <w:vAlign w:val="center"/>
          </w:tcPr>
          <w:p w14:paraId="655175C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83%</w:t>
            </w:r>
          </w:p>
        </w:tc>
        <w:tc>
          <w:tcPr>
            <w:tcW w:w="635" w:type="dxa"/>
            <w:gridSpan w:val="2"/>
            <w:shd w:val="clear" w:color="auto" w:fill="F9CDC7"/>
            <w:vAlign w:val="center"/>
          </w:tcPr>
          <w:p w14:paraId="0121336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76%</w:t>
            </w:r>
          </w:p>
        </w:tc>
        <w:tc>
          <w:tcPr>
            <w:tcW w:w="635" w:type="dxa"/>
            <w:gridSpan w:val="2"/>
            <w:tcBorders>
              <w:right w:val="single" w:sz="18" w:space="0" w:color="254247"/>
            </w:tcBorders>
            <w:vAlign w:val="center"/>
          </w:tcPr>
          <w:p w14:paraId="71BCFE6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82%</w:t>
            </w:r>
          </w:p>
        </w:tc>
        <w:tc>
          <w:tcPr>
            <w:tcW w:w="635" w:type="dxa"/>
            <w:gridSpan w:val="2"/>
            <w:tcBorders>
              <w:left w:val="single" w:sz="18" w:space="0" w:color="254247"/>
            </w:tcBorders>
            <w:vAlign w:val="center"/>
          </w:tcPr>
          <w:p w14:paraId="7A77CFE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86%</w:t>
            </w:r>
          </w:p>
        </w:tc>
        <w:tc>
          <w:tcPr>
            <w:tcW w:w="634" w:type="dxa"/>
            <w:shd w:val="clear" w:color="auto" w:fill="8BBAC3"/>
            <w:vAlign w:val="center"/>
          </w:tcPr>
          <w:p w14:paraId="616F3E8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91%</w:t>
            </w:r>
          </w:p>
        </w:tc>
        <w:tc>
          <w:tcPr>
            <w:tcW w:w="635" w:type="dxa"/>
            <w:gridSpan w:val="2"/>
            <w:vAlign w:val="center"/>
          </w:tcPr>
          <w:p w14:paraId="03BFE0F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83%</w:t>
            </w:r>
          </w:p>
        </w:tc>
        <w:tc>
          <w:tcPr>
            <w:tcW w:w="635" w:type="dxa"/>
            <w:gridSpan w:val="2"/>
            <w:vAlign w:val="center"/>
          </w:tcPr>
          <w:p w14:paraId="73266EF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90%</w:t>
            </w:r>
          </w:p>
        </w:tc>
        <w:tc>
          <w:tcPr>
            <w:tcW w:w="635" w:type="dxa"/>
            <w:gridSpan w:val="2"/>
            <w:vAlign w:val="center"/>
          </w:tcPr>
          <w:p w14:paraId="247B267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85%</w:t>
            </w:r>
          </w:p>
        </w:tc>
        <w:tc>
          <w:tcPr>
            <w:tcW w:w="634" w:type="dxa"/>
            <w:gridSpan w:val="2"/>
            <w:shd w:val="clear" w:color="auto" w:fill="F9CDC7"/>
            <w:vAlign w:val="center"/>
          </w:tcPr>
          <w:p w14:paraId="2380448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72%</w:t>
            </w:r>
          </w:p>
        </w:tc>
        <w:tc>
          <w:tcPr>
            <w:tcW w:w="635" w:type="dxa"/>
            <w:gridSpan w:val="2"/>
            <w:vAlign w:val="center"/>
          </w:tcPr>
          <w:p w14:paraId="0AD1D4F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76%</w:t>
            </w:r>
          </w:p>
        </w:tc>
        <w:tc>
          <w:tcPr>
            <w:tcW w:w="635" w:type="dxa"/>
            <w:gridSpan w:val="2"/>
            <w:vAlign w:val="center"/>
          </w:tcPr>
          <w:p w14:paraId="2EE322F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78%</w:t>
            </w:r>
          </w:p>
        </w:tc>
        <w:tc>
          <w:tcPr>
            <w:tcW w:w="635" w:type="dxa"/>
            <w:gridSpan w:val="2"/>
            <w:vAlign w:val="center"/>
          </w:tcPr>
          <w:p w14:paraId="5AC0B8B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87%</w:t>
            </w:r>
          </w:p>
        </w:tc>
        <w:tc>
          <w:tcPr>
            <w:tcW w:w="635" w:type="dxa"/>
            <w:gridSpan w:val="2"/>
            <w:shd w:val="clear" w:color="auto" w:fill="8BBAC3"/>
            <w:vAlign w:val="center"/>
          </w:tcPr>
          <w:p w14:paraId="2E7B28A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89%</w:t>
            </w:r>
          </w:p>
        </w:tc>
        <w:tc>
          <w:tcPr>
            <w:tcW w:w="634" w:type="dxa"/>
            <w:gridSpan w:val="2"/>
            <w:vAlign w:val="center"/>
          </w:tcPr>
          <w:p w14:paraId="45D3AF9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81%</w:t>
            </w:r>
          </w:p>
        </w:tc>
        <w:tc>
          <w:tcPr>
            <w:tcW w:w="635" w:type="dxa"/>
            <w:gridSpan w:val="2"/>
            <w:vAlign w:val="center"/>
          </w:tcPr>
          <w:p w14:paraId="6504FA2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88%</w:t>
            </w:r>
          </w:p>
        </w:tc>
        <w:tc>
          <w:tcPr>
            <w:tcW w:w="639" w:type="dxa"/>
            <w:gridSpan w:val="2"/>
            <w:shd w:val="clear" w:color="auto" w:fill="F9CDC7"/>
            <w:vAlign w:val="center"/>
          </w:tcPr>
          <w:p w14:paraId="0AFE1F3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55%</w:t>
            </w:r>
          </w:p>
        </w:tc>
        <w:tc>
          <w:tcPr>
            <w:tcW w:w="498" w:type="dxa"/>
            <w:gridSpan w:val="2"/>
            <w:vAlign w:val="center"/>
          </w:tcPr>
          <w:p w14:paraId="51FF269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81%</w:t>
            </w:r>
          </w:p>
        </w:tc>
        <w:tc>
          <w:tcPr>
            <w:tcW w:w="567" w:type="dxa"/>
            <w:tcBorders>
              <w:right w:val="single" w:sz="12" w:space="0" w:color="8BBAC3"/>
            </w:tcBorders>
            <w:vAlign w:val="center"/>
          </w:tcPr>
          <w:p w14:paraId="4477500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76%</w:t>
            </w:r>
          </w:p>
        </w:tc>
      </w:tr>
      <w:tr w:rsidR="00A33EBF" w:rsidRPr="0007053D" w14:paraId="529934DF" w14:textId="77777777" w:rsidTr="0007053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69D82F85"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Ran out of food</w:t>
            </w:r>
          </w:p>
        </w:tc>
        <w:tc>
          <w:tcPr>
            <w:tcW w:w="629" w:type="dxa"/>
            <w:vAlign w:val="center"/>
          </w:tcPr>
          <w:p w14:paraId="25A3E61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sz w:val="18"/>
                <w:szCs w:val="18"/>
              </w:rPr>
            </w:pPr>
            <w:r w:rsidRPr="0007053D">
              <w:rPr>
                <w:rFonts w:ascii="Avenir 65" w:hAnsi="Avenir 65" w:cs="Times New Roman"/>
                <w:sz w:val="18"/>
                <w:szCs w:val="18"/>
              </w:rPr>
              <w:t>4.3% (2017)</w:t>
            </w:r>
          </w:p>
        </w:tc>
        <w:tc>
          <w:tcPr>
            <w:tcW w:w="769" w:type="dxa"/>
            <w:gridSpan w:val="2"/>
            <w:vAlign w:val="center"/>
          </w:tcPr>
          <w:p w14:paraId="1BBF0C5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0" w:type="dxa"/>
            <w:tcBorders>
              <w:right w:val="single" w:sz="18" w:space="0" w:color="254247"/>
            </w:tcBorders>
            <w:vAlign w:val="center"/>
          </w:tcPr>
          <w:p w14:paraId="0B488B5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FF0000"/>
                <w:sz w:val="18"/>
                <w:szCs w:val="18"/>
              </w:rPr>
            </w:pPr>
            <w:r w:rsidRPr="0007053D">
              <w:rPr>
                <w:rFonts w:ascii="Avenir 65" w:hAnsi="Avenir 65" w:cs="Arial"/>
                <w:color w:val="FF0000"/>
                <w:sz w:val="18"/>
                <w:szCs w:val="18"/>
              </w:rPr>
              <w:sym w:font="Wingdings" w:char="F0E9"/>
            </w:r>
          </w:p>
        </w:tc>
        <w:tc>
          <w:tcPr>
            <w:tcW w:w="665" w:type="dxa"/>
            <w:tcBorders>
              <w:left w:val="single" w:sz="18" w:space="0" w:color="254247"/>
            </w:tcBorders>
            <w:vAlign w:val="center"/>
          </w:tcPr>
          <w:p w14:paraId="791580F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w:t>
            </w:r>
          </w:p>
        </w:tc>
        <w:tc>
          <w:tcPr>
            <w:tcW w:w="681" w:type="dxa"/>
            <w:tcBorders>
              <w:right w:val="single" w:sz="18" w:space="0" w:color="254247"/>
            </w:tcBorders>
            <w:vAlign w:val="center"/>
          </w:tcPr>
          <w:p w14:paraId="4902263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tcBorders>
              <w:left w:val="single" w:sz="18" w:space="0" w:color="254247"/>
            </w:tcBorders>
            <w:shd w:val="clear" w:color="auto" w:fill="8BBAC3"/>
            <w:vAlign w:val="center"/>
          </w:tcPr>
          <w:p w14:paraId="7281617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shd w:val="clear" w:color="auto" w:fill="8BBAC3"/>
            <w:vAlign w:val="center"/>
          </w:tcPr>
          <w:p w14:paraId="6884659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11%</w:t>
            </w:r>
          </w:p>
        </w:tc>
        <w:tc>
          <w:tcPr>
            <w:tcW w:w="635" w:type="dxa"/>
            <w:gridSpan w:val="2"/>
            <w:tcBorders>
              <w:right w:val="single" w:sz="18" w:space="0" w:color="254247"/>
            </w:tcBorders>
            <w:shd w:val="clear" w:color="auto" w:fill="F9CDC7"/>
            <w:vAlign w:val="center"/>
          </w:tcPr>
          <w:p w14:paraId="3A39885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w:t>
            </w:r>
          </w:p>
        </w:tc>
        <w:tc>
          <w:tcPr>
            <w:tcW w:w="635" w:type="dxa"/>
            <w:gridSpan w:val="2"/>
            <w:tcBorders>
              <w:left w:val="single" w:sz="18" w:space="0" w:color="254247"/>
            </w:tcBorders>
            <w:vAlign w:val="center"/>
          </w:tcPr>
          <w:p w14:paraId="4C30B74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4" w:type="dxa"/>
            <w:shd w:val="clear" w:color="auto" w:fill="F9CDC7"/>
            <w:vAlign w:val="center"/>
          </w:tcPr>
          <w:p w14:paraId="03F38BF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w:t>
            </w:r>
          </w:p>
        </w:tc>
        <w:tc>
          <w:tcPr>
            <w:tcW w:w="635" w:type="dxa"/>
            <w:gridSpan w:val="2"/>
            <w:vAlign w:val="center"/>
          </w:tcPr>
          <w:p w14:paraId="314E2C0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5" w:type="dxa"/>
            <w:gridSpan w:val="2"/>
            <w:vAlign w:val="center"/>
          </w:tcPr>
          <w:p w14:paraId="1EFC989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5" w:type="dxa"/>
            <w:gridSpan w:val="2"/>
            <w:vAlign w:val="center"/>
          </w:tcPr>
          <w:p w14:paraId="5B7760C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w:t>
            </w:r>
          </w:p>
        </w:tc>
        <w:tc>
          <w:tcPr>
            <w:tcW w:w="634" w:type="dxa"/>
            <w:gridSpan w:val="2"/>
            <w:shd w:val="clear" w:color="auto" w:fill="8BBAC3"/>
            <w:vAlign w:val="center"/>
          </w:tcPr>
          <w:p w14:paraId="0DC79BE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12%</w:t>
            </w:r>
          </w:p>
        </w:tc>
        <w:tc>
          <w:tcPr>
            <w:tcW w:w="635" w:type="dxa"/>
            <w:gridSpan w:val="2"/>
            <w:vAlign w:val="center"/>
          </w:tcPr>
          <w:p w14:paraId="3DB524A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vAlign w:val="center"/>
          </w:tcPr>
          <w:p w14:paraId="694B901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5" w:type="dxa"/>
            <w:gridSpan w:val="2"/>
            <w:vAlign w:val="center"/>
          </w:tcPr>
          <w:p w14:paraId="12E41E3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vAlign w:val="center"/>
          </w:tcPr>
          <w:p w14:paraId="54673B7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4" w:type="dxa"/>
            <w:gridSpan w:val="2"/>
            <w:vAlign w:val="center"/>
          </w:tcPr>
          <w:p w14:paraId="1760C26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5" w:type="dxa"/>
            <w:gridSpan w:val="2"/>
            <w:vAlign w:val="center"/>
          </w:tcPr>
          <w:p w14:paraId="760FE86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w:t>
            </w:r>
          </w:p>
        </w:tc>
        <w:tc>
          <w:tcPr>
            <w:tcW w:w="639" w:type="dxa"/>
            <w:gridSpan w:val="2"/>
            <w:shd w:val="clear" w:color="auto" w:fill="8BBAC3"/>
            <w:vAlign w:val="center"/>
          </w:tcPr>
          <w:p w14:paraId="5B5292B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23%</w:t>
            </w:r>
          </w:p>
        </w:tc>
        <w:tc>
          <w:tcPr>
            <w:tcW w:w="498" w:type="dxa"/>
            <w:gridSpan w:val="2"/>
            <w:vAlign w:val="center"/>
          </w:tcPr>
          <w:p w14:paraId="09D3BA1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w:t>
            </w:r>
          </w:p>
        </w:tc>
        <w:tc>
          <w:tcPr>
            <w:tcW w:w="567" w:type="dxa"/>
            <w:tcBorders>
              <w:right w:val="single" w:sz="12" w:space="0" w:color="8BBAC3"/>
            </w:tcBorders>
            <w:vAlign w:val="center"/>
          </w:tcPr>
          <w:p w14:paraId="1A97F4D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w:t>
            </w:r>
          </w:p>
        </w:tc>
      </w:tr>
      <w:tr w:rsidR="00A33EBF" w:rsidRPr="0007053D" w14:paraId="548A46EE"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5A8E3B82"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Worried about running out of food</w:t>
            </w:r>
          </w:p>
        </w:tc>
        <w:tc>
          <w:tcPr>
            <w:tcW w:w="629" w:type="dxa"/>
            <w:vAlign w:val="center"/>
          </w:tcPr>
          <w:p w14:paraId="1D8DC4A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p>
        </w:tc>
        <w:tc>
          <w:tcPr>
            <w:tcW w:w="769" w:type="dxa"/>
            <w:gridSpan w:val="2"/>
            <w:vAlign w:val="center"/>
          </w:tcPr>
          <w:p w14:paraId="62BE90D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10%</w:t>
            </w:r>
          </w:p>
        </w:tc>
        <w:tc>
          <w:tcPr>
            <w:tcW w:w="630" w:type="dxa"/>
            <w:tcBorders>
              <w:right w:val="single" w:sz="18" w:space="0" w:color="254247"/>
            </w:tcBorders>
            <w:vAlign w:val="center"/>
          </w:tcPr>
          <w:p w14:paraId="43C65A5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Times New Roman"/>
                <w:sz w:val="18"/>
                <w:szCs w:val="18"/>
              </w:rPr>
              <w:t>New</w:t>
            </w:r>
          </w:p>
        </w:tc>
        <w:tc>
          <w:tcPr>
            <w:tcW w:w="665" w:type="dxa"/>
            <w:tcBorders>
              <w:left w:val="single" w:sz="18" w:space="0" w:color="254247"/>
            </w:tcBorders>
            <w:vAlign w:val="center"/>
          </w:tcPr>
          <w:p w14:paraId="2B84D98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81" w:type="dxa"/>
            <w:tcBorders>
              <w:right w:val="single" w:sz="18" w:space="0" w:color="254247"/>
            </w:tcBorders>
            <w:vAlign w:val="center"/>
          </w:tcPr>
          <w:p w14:paraId="229AF28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12%</w:t>
            </w:r>
          </w:p>
        </w:tc>
        <w:tc>
          <w:tcPr>
            <w:tcW w:w="635" w:type="dxa"/>
            <w:gridSpan w:val="2"/>
            <w:tcBorders>
              <w:left w:val="single" w:sz="18" w:space="0" w:color="254247"/>
            </w:tcBorders>
            <w:shd w:val="clear" w:color="auto" w:fill="8BBAC3"/>
            <w:vAlign w:val="center"/>
          </w:tcPr>
          <w:p w14:paraId="2D570BF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15%</w:t>
            </w:r>
          </w:p>
        </w:tc>
        <w:tc>
          <w:tcPr>
            <w:tcW w:w="635" w:type="dxa"/>
            <w:gridSpan w:val="2"/>
            <w:shd w:val="clear" w:color="auto" w:fill="8BBAC3"/>
            <w:vAlign w:val="center"/>
          </w:tcPr>
          <w:p w14:paraId="7F73FF2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11%</w:t>
            </w:r>
          </w:p>
        </w:tc>
        <w:tc>
          <w:tcPr>
            <w:tcW w:w="635" w:type="dxa"/>
            <w:gridSpan w:val="2"/>
            <w:tcBorders>
              <w:right w:val="single" w:sz="18" w:space="0" w:color="254247"/>
            </w:tcBorders>
            <w:shd w:val="clear" w:color="auto" w:fill="F9CDC7"/>
            <w:vAlign w:val="center"/>
          </w:tcPr>
          <w:p w14:paraId="200FE93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w:t>
            </w:r>
          </w:p>
        </w:tc>
        <w:tc>
          <w:tcPr>
            <w:tcW w:w="635" w:type="dxa"/>
            <w:gridSpan w:val="2"/>
            <w:tcBorders>
              <w:left w:val="single" w:sz="18" w:space="0" w:color="254247"/>
            </w:tcBorders>
            <w:vAlign w:val="center"/>
          </w:tcPr>
          <w:p w14:paraId="1D71998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4" w:type="dxa"/>
            <w:shd w:val="clear" w:color="auto" w:fill="F9CDC7"/>
            <w:vAlign w:val="center"/>
          </w:tcPr>
          <w:p w14:paraId="2A1A8CC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5" w:type="dxa"/>
            <w:gridSpan w:val="2"/>
            <w:shd w:val="clear" w:color="auto" w:fill="F9CDC7"/>
            <w:vAlign w:val="center"/>
          </w:tcPr>
          <w:p w14:paraId="5797A0D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w:t>
            </w:r>
          </w:p>
        </w:tc>
        <w:tc>
          <w:tcPr>
            <w:tcW w:w="635" w:type="dxa"/>
            <w:gridSpan w:val="2"/>
            <w:shd w:val="clear" w:color="auto" w:fill="F9CDC7"/>
            <w:vAlign w:val="center"/>
          </w:tcPr>
          <w:p w14:paraId="6F02E75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5" w:type="dxa"/>
            <w:gridSpan w:val="2"/>
            <w:shd w:val="clear" w:color="auto" w:fill="F9CDC7"/>
            <w:vAlign w:val="center"/>
          </w:tcPr>
          <w:p w14:paraId="5D72097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w:t>
            </w:r>
          </w:p>
        </w:tc>
        <w:tc>
          <w:tcPr>
            <w:tcW w:w="634" w:type="dxa"/>
            <w:gridSpan w:val="2"/>
            <w:vAlign w:val="center"/>
          </w:tcPr>
          <w:p w14:paraId="7AE2D74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635" w:type="dxa"/>
            <w:gridSpan w:val="2"/>
            <w:shd w:val="clear" w:color="auto" w:fill="F9CDC7"/>
            <w:vAlign w:val="center"/>
          </w:tcPr>
          <w:p w14:paraId="6B68A01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5" w:type="dxa"/>
            <w:gridSpan w:val="2"/>
            <w:vAlign w:val="center"/>
          </w:tcPr>
          <w:p w14:paraId="27D29DA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12%</w:t>
            </w:r>
          </w:p>
        </w:tc>
        <w:tc>
          <w:tcPr>
            <w:tcW w:w="635" w:type="dxa"/>
            <w:gridSpan w:val="2"/>
            <w:vAlign w:val="center"/>
          </w:tcPr>
          <w:p w14:paraId="55F6B68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11%</w:t>
            </w:r>
          </w:p>
        </w:tc>
        <w:tc>
          <w:tcPr>
            <w:tcW w:w="635" w:type="dxa"/>
            <w:gridSpan w:val="2"/>
            <w:shd w:val="clear" w:color="auto" w:fill="F9CDC7"/>
            <w:vAlign w:val="center"/>
          </w:tcPr>
          <w:p w14:paraId="74C649D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4" w:type="dxa"/>
            <w:gridSpan w:val="2"/>
            <w:vAlign w:val="center"/>
          </w:tcPr>
          <w:p w14:paraId="760B984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635" w:type="dxa"/>
            <w:gridSpan w:val="2"/>
            <w:shd w:val="clear" w:color="auto" w:fill="F9CDC7"/>
            <w:vAlign w:val="center"/>
          </w:tcPr>
          <w:p w14:paraId="35DE515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w:t>
            </w:r>
          </w:p>
        </w:tc>
        <w:tc>
          <w:tcPr>
            <w:tcW w:w="639" w:type="dxa"/>
            <w:gridSpan w:val="2"/>
            <w:shd w:val="clear" w:color="auto" w:fill="8BBAC3"/>
            <w:vAlign w:val="center"/>
          </w:tcPr>
          <w:p w14:paraId="2CE30CD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30%</w:t>
            </w:r>
          </w:p>
        </w:tc>
        <w:tc>
          <w:tcPr>
            <w:tcW w:w="498" w:type="dxa"/>
            <w:gridSpan w:val="2"/>
            <w:shd w:val="clear" w:color="auto" w:fill="F9CDC7"/>
            <w:vAlign w:val="center"/>
          </w:tcPr>
          <w:p w14:paraId="1D712BB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567" w:type="dxa"/>
            <w:tcBorders>
              <w:right w:val="single" w:sz="12" w:space="0" w:color="8BBAC3"/>
            </w:tcBorders>
            <w:vAlign w:val="center"/>
          </w:tcPr>
          <w:p w14:paraId="19A7C70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10%</w:t>
            </w:r>
          </w:p>
        </w:tc>
      </w:tr>
      <w:tr w:rsidR="00A33EBF" w:rsidRPr="0007053D" w14:paraId="1720DE4B"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7D002EF"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Feel unsafe in local area</w:t>
            </w:r>
          </w:p>
        </w:tc>
        <w:tc>
          <w:tcPr>
            <w:tcW w:w="629" w:type="dxa"/>
            <w:vAlign w:val="center"/>
          </w:tcPr>
          <w:p w14:paraId="620D68E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p>
        </w:tc>
        <w:tc>
          <w:tcPr>
            <w:tcW w:w="769" w:type="dxa"/>
            <w:gridSpan w:val="2"/>
            <w:vAlign w:val="center"/>
          </w:tcPr>
          <w:p w14:paraId="377F780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0" w:type="dxa"/>
            <w:tcBorders>
              <w:right w:val="single" w:sz="18" w:space="0" w:color="254247"/>
            </w:tcBorders>
            <w:vAlign w:val="center"/>
          </w:tcPr>
          <w:p w14:paraId="302DAC1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Times New Roman"/>
                <w:sz w:val="18"/>
                <w:szCs w:val="18"/>
              </w:rPr>
              <w:t>New</w:t>
            </w:r>
          </w:p>
        </w:tc>
        <w:tc>
          <w:tcPr>
            <w:tcW w:w="665" w:type="dxa"/>
            <w:tcBorders>
              <w:left w:val="single" w:sz="18" w:space="0" w:color="254247"/>
            </w:tcBorders>
            <w:shd w:val="clear" w:color="auto" w:fill="F9CDC7"/>
            <w:vAlign w:val="center"/>
          </w:tcPr>
          <w:p w14:paraId="6330DE7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w:t>
            </w:r>
          </w:p>
        </w:tc>
        <w:tc>
          <w:tcPr>
            <w:tcW w:w="681" w:type="dxa"/>
            <w:tcBorders>
              <w:right w:val="single" w:sz="18" w:space="0" w:color="254247"/>
            </w:tcBorders>
            <w:shd w:val="clear" w:color="auto" w:fill="8BBAC3"/>
            <w:vAlign w:val="center"/>
          </w:tcPr>
          <w:p w14:paraId="64D3D78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5" w:type="dxa"/>
            <w:gridSpan w:val="2"/>
            <w:tcBorders>
              <w:left w:val="single" w:sz="18" w:space="0" w:color="254247"/>
            </w:tcBorders>
            <w:shd w:val="clear" w:color="auto" w:fill="8BBAC3"/>
            <w:vAlign w:val="center"/>
          </w:tcPr>
          <w:p w14:paraId="2DFFE40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shd w:val="clear" w:color="auto" w:fill="F9CDC7"/>
            <w:vAlign w:val="center"/>
          </w:tcPr>
          <w:p w14:paraId="4CDCC5A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5" w:type="dxa"/>
            <w:gridSpan w:val="2"/>
            <w:tcBorders>
              <w:right w:val="single" w:sz="18" w:space="0" w:color="254247"/>
            </w:tcBorders>
            <w:shd w:val="clear" w:color="auto" w:fill="F9CDC7"/>
            <w:vAlign w:val="center"/>
          </w:tcPr>
          <w:p w14:paraId="4C9765F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5" w:type="dxa"/>
            <w:gridSpan w:val="2"/>
            <w:tcBorders>
              <w:left w:val="single" w:sz="18" w:space="0" w:color="254247"/>
            </w:tcBorders>
            <w:vAlign w:val="center"/>
          </w:tcPr>
          <w:p w14:paraId="672FADD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w:t>
            </w:r>
          </w:p>
        </w:tc>
        <w:tc>
          <w:tcPr>
            <w:tcW w:w="634" w:type="dxa"/>
            <w:shd w:val="clear" w:color="auto" w:fill="F9CDC7"/>
            <w:vAlign w:val="center"/>
          </w:tcPr>
          <w:p w14:paraId="2B2BF2C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w:t>
            </w:r>
          </w:p>
        </w:tc>
        <w:tc>
          <w:tcPr>
            <w:tcW w:w="635" w:type="dxa"/>
            <w:gridSpan w:val="2"/>
            <w:vAlign w:val="center"/>
          </w:tcPr>
          <w:p w14:paraId="500DC3E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5" w:type="dxa"/>
            <w:gridSpan w:val="2"/>
            <w:vAlign w:val="center"/>
          </w:tcPr>
          <w:p w14:paraId="3B21B90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w:t>
            </w:r>
          </w:p>
        </w:tc>
        <w:tc>
          <w:tcPr>
            <w:tcW w:w="635" w:type="dxa"/>
            <w:gridSpan w:val="2"/>
            <w:vAlign w:val="center"/>
          </w:tcPr>
          <w:p w14:paraId="17C342C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w:t>
            </w:r>
          </w:p>
        </w:tc>
        <w:tc>
          <w:tcPr>
            <w:tcW w:w="634" w:type="dxa"/>
            <w:gridSpan w:val="2"/>
            <w:shd w:val="clear" w:color="auto" w:fill="8BBAC3"/>
            <w:vAlign w:val="center"/>
          </w:tcPr>
          <w:p w14:paraId="38E5262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16%</w:t>
            </w:r>
          </w:p>
        </w:tc>
        <w:tc>
          <w:tcPr>
            <w:tcW w:w="635" w:type="dxa"/>
            <w:gridSpan w:val="2"/>
            <w:vAlign w:val="center"/>
          </w:tcPr>
          <w:p w14:paraId="49F594E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5" w:type="dxa"/>
            <w:gridSpan w:val="2"/>
            <w:shd w:val="clear" w:color="auto" w:fill="F9CDC7"/>
            <w:vAlign w:val="center"/>
          </w:tcPr>
          <w:p w14:paraId="6D5E9A5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w:t>
            </w:r>
          </w:p>
        </w:tc>
        <w:tc>
          <w:tcPr>
            <w:tcW w:w="635" w:type="dxa"/>
            <w:gridSpan w:val="2"/>
            <w:vAlign w:val="center"/>
          </w:tcPr>
          <w:p w14:paraId="6152EFF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5" w:type="dxa"/>
            <w:gridSpan w:val="2"/>
            <w:shd w:val="clear" w:color="auto" w:fill="F9CDC7"/>
            <w:vAlign w:val="center"/>
          </w:tcPr>
          <w:p w14:paraId="45CBB43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w:t>
            </w:r>
          </w:p>
        </w:tc>
        <w:tc>
          <w:tcPr>
            <w:tcW w:w="634" w:type="dxa"/>
            <w:gridSpan w:val="2"/>
            <w:vAlign w:val="center"/>
          </w:tcPr>
          <w:p w14:paraId="32CD564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w:t>
            </w:r>
          </w:p>
        </w:tc>
        <w:tc>
          <w:tcPr>
            <w:tcW w:w="635" w:type="dxa"/>
            <w:gridSpan w:val="2"/>
            <w:vAlign w:val="center"/>
          </w:tcPr>
          <w:p w14:paraId="0A73D9C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w:t>
            </w:r>
          </w:p>
        </w:tc>
        <w:tc>
          <w:tcPr>
            <w:tcW w:w="639" w:type="dxa"/>
            <w:gridSpan w:val="2"/>
            <w:shd w:val="clear" w:color="auto" w:fill="8BBAC3"/>
            <w:vAlign w:val="center"/>
          </w:tcPr>
          <w:p w14:paraId="1975938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17%</w:t>
            </w:r>
          </w:p>
        </w:tc>
        <w:tc>
          <w:tcPr>
            <w:tcW w:w="498" w:type="dxa"/>
            <w:gridSpan w:val="2"/>
            <w:vAlign w:val="center"/>
          </w:tcPr>
          <w:p w14:paraId="4EA9C11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7%</w:t>
            </w:r>
          </w:p>
        </w:tc>
        <w:tc>
          <w:tcPr>
            <w:tcW w:w="567" w:type="dxa"/>
            <w:tcBorders>
              <w:right w:val="single" w:sz="12" w:space="0" w:color="8BBAC3"/>
            </w:tcBorders>
            <w:vAlign w:val="center"/>
          </w:tcPr>
          <w:p w14:paraId="6162674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11%</w:t>
            </w:r>
          </w:p>
        </w:tc>
      </w:tr>
      <w:tr w:rsidR="00A33EBF" w:rsidRPr="0007053D" w14:paraId="4EF8757F"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62FCB25E"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Are more unsafe than others</w:t>
            </w:r>
          </w:p>
        </w:tc>
        <w:tc>
          <w:tcPr>
            <w:tcW w:w="629" w:type="dxa"/>
            <w:vAlign w:val="center"/>
          </w:tcPr>
          <w:p w14:paraId="1353B92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p>
        </w:tc>
        <w:tc>
          <w:tcPr>
            <w:tcW w:w="769" w:type="dxa"/>
            <w:gridSpan w:val="2"/>
            <w:vAlign w:val="center"/>
          </w:tcPr>
          <w:p w14:paraId="0DF31AC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30" w:type="dxa"/>
            <w:tcBorders>
              <w:right w:val="single" w:sz="18" w:space="0" w:color="254247"/>
            </w:tcBorders>
            <w:vAlign w:val="center"/>
          </w:tcPr>
          <w:p w14:paraId="4257500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Times New Roman"/>
                <w:sz w:val="18"/>
                <w:szCs w:val="18"/>
              </w:rPr>
              <w:t>New</w:t>
            </w:r>
          </w:p>
        </w:tc>
        <w:tc>
          <w:tcPr>
            <w:tcW w:w="665" w:type="dxa"/>
            <w:tcBorders>
              <w:left w:val="single" w:sz="18" w:space="0" w:color="254247"/>
            </w:tcBorders>
            <w:vAlign w:val="center"/>
          </w:tcPr>
          <w:p w14:paraId="2AA639E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8%</w:t>
            </w:r>
          </w:p>
        </w:tc>
        <w:tc>
          <w:tcPr>
            <w:tcW w:w="681" w:type="dxa"/>
            <w:tcBorders>
              <w:right w:val="single" w:sz="18" w:space="0" w:color="254247"/>
            </w:tcBorders>
            <w:vAlign w:val="center"/>
          </w:tcPr>
          <w:p w14:paraId="4607CAC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9%</w:t>
            </w:r>
          </w:p>
        </w:tc>
        <w:tc>
          <w:tcPr>
            <w:tcW w:w="635" w:type="dxa"/>
            <w:gridSpan w:val="2"/>
            <w:tcBorders>
              <w:left w:val="single" w:sz="18" w:space="0" w:color="254247"/>
            </w:tcBorders>
            <w:shd w:val="clear" w:color="auto" w:fill="8BBAC3"/>
            <w:vAlign w:val="center"/>
          </w:tcPr>
          <w:p w14:paraId="33FA094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13%</w:t>
            </w:r>
          </w:p>
        </w:tc>
        <w:tc>
          <w:tcPr>
            <w:tcW w:w="635" w:type="dxa"/>
            <w:gridSpan w:val="2"/>
            <w:shd w:val="clear" w:color="auto" w:fill="F9CDC7"/>
            <w:vAlign w:val="center"/>
          </w:tcPr>
          <w:p w14:paraId="1A43E23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5" w:type="dxa"/>
            <w:gridSpan w:val="2"/>
            <w:tcBorders>
              <w:right w:val="single" w:sz="18" w:space="0" w:color="254247"/>
            </w:tcBorders>
            <w:shd w:val="clear" w:color="auto" w:fill="F9CDC7"/>
            <w:vAlign w:val="center"/>
          </w:tcPr>
          <w:p w14:paraId="3949E22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c>
          <w:tcPr>
            <w:tcW w:w="635" w:type="dxa"/>
            <w:gridSpan w:val="2"/>
            <w:tcBorders>
              <w:left w:val="single" w:sz="18" w:space="0" w:color="254247"/>
            </w:tcBorders>
            <w:vAlign w:val="center"/>
          </w:tcPr>
          <w:p w14:paraId="6276806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w:t>
            </w:r>
          </w:p>
        </w:tc>
        <w:tc>
          <w:tcPr>
            <w:tcW w:w="634" w:type="dxa"/>
            <w:vAlign w:val="center"/>
          </w:tcPr>
          <w:p w14:paraId="772A02F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w:t>
            </w:r>
          </w:p>
        </w:tc>
        <w:tc>
          <w:tcPr>
            <w:tcW w:w="635" w:type="dxa"/>
            <w:gridSpan w:val="2"/>
            <w:vAlign w:val="center"/>
          </w:tcPr>
          <w:p w14:paraId="21C13D2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5" w:type="dxa"/>
            <w:gridSpan w:val="2"/>
            <w:vAlign w:val="center"/>
          </w:tcPr>
          <w:p w14:paraId="0D542FF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w:t>
            </w:r>
          </w:p>
        </w:tc>
        <w:tc>
          <w:tcPr>
            <w:tcW w:w="635" w:type="dxa"/>
            <w:gridSpan w:val="2"/>
            <w:vAlign w:val="center"/>
          </w:tcPr>
          <w:p w14:paraId="71C15AB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w:t>
            </w:r>
          </w:p>
        </w:tc>
        <w:tc>
          <w:tcPr>
            <w:tcW w:w="634" w:type="dxa"/>
            <w:gridSpan w:val="2"/>
            <w:shd w:val="clear" w:color="auto" w:fill="8BBAC3"/>
            <w:vAlign w:val="center"/>
          </w:tcPr>
          <w:p w14:paraId="21C30B7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23%</w:t>
            </w:r>
          </w:p>
        </w:tc>
        <w:tc>
          <w:tcPr>
            <w:tcW w:w="635" w:type="dxa"/>
            <w:gridSpan w:val="2"/>
            <w:vAlign w:val="center"/>
          </w:tcPr>
          <w:p w14:paraId="529B58A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5" w:type="dxa"/>
            <w:gridSpan w:val="2"/>
            <w:shd w:val="clear" w:color="auto" w:fill="F9CDC7"/>
            <w:vAlign w:val="center"/>
          </w:tcPr>
          <w:p w14:paraId="2CA4CDA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w:t>
            </w:r>
          </w:p>
        </w:tc>
        <w:tc>
          <w:tcPr>
            <w:tcW w:w="635" w:type="dxa"/>
            <w:gridSpan w:val="2"/>
            <w:vAlign w:val="center"/>
          </w:tcPr>
          <w:p w14:paraId="4971F7A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6%</w:t>
            </w:r>
          </w:p>
        </w:tc>
        <w:tc>
          <w:tcPr>
            <w:tcW w:w="635" w:type="dxa"/>
            <w:gridSpan w:val="2"/>
            <w:vAlign w:val="center"/>
          </w:tcPr>
          <w:p w14:paraId="34368AC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w:t>
            </w:r>
          </w:p>
        </w:tc>
        <w:tc>
          <w:tcPr>
            <w:tcW w:w="634" w:type="dxa"/>
            <w:gridSpan w:val="2"/>
            <w:vAlign w:val="center"/>
          </w:tcPr>
          <w:p w14:paraId="2B7798B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10%</w:t>
            </w:r>
          </w:p>
        </w:tc>
        <w:tc>
          <w:tcPr>
            <w:tcW w:w="635" w:type="dxa"/>
            <w:gridSpan w:val="2"/>
            <w:vAlign w:val="center"/>
          </w:tcPr>
          <w:p w14:paraId="262B625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w:t>
            </w:r>
          </w:p>
        </w:tc>
        <w:tc>
          <w:tcPr>
            <w:tcW w:w="639" w:type="dxa"/>
            <w:gridSpan w:val="2"/>
            <w:shd w:val="clear" w:color="auto" w:fill="8BBAC3"/>
            <w:vAlign w:val="center"/>
          </w:tcPr>
          <w:p w14:paraId="6967F7E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41%</w:t>
            </w:r>
          </w:p>
        </w:tc>
        <w:tc>
          <w:tcPr>
            <w:tcW w:w="498" w:type="dxa"/>
            <w:gridSpan w:val="2"/>
            <w:vAlign w:val="center"/>
          </w:tcPr>
          <w:p w14:paraId="549EF68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w:t>
            </w:r>
          </w:p>
        </w:tc>
        <w:tc>
          <w:tcPr>
            <w:tcW w:w="567" w:type="dxa"/>
            <w:tcBorders>
              <w:right w:val="single" w:sz="12" w:space="0" w:color="8BBAC3"/>
            </w:tcBorders>
            <w:vAlign w:val="center"/>
          </w:tcPr>
          <w:p w14:paraId="71651C3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w:t>
            </w:r>
          </w:p>
        </w:tc>
      </w:tr>
      <w:tr w:rsidR="00A33EBF" w:rsidRPr="0007053D" w14:paraId="3C17EB5A"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CC06B5F"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Multiculturalism makes life better</w:t>
            </w:r>
          </w:p>
        </w:tc>
        <w:tc>
          <w:tcPr>
            <w:tcW w:w="629" w:type="dxa"/>
            <w:vAlign w:val="center"/>
          </w:tcPr>
          <w:p w14:paraId="6CE3D40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sz w:val="18"/>
                <w:szCs w:val="18"/>
              </w:rPr>
            </w:pPr>
            <w:r w:rsidRPr="0007053D">
              <w:rPr>
                <w:rFonts w:ascii="Avenir 65" w:hAnsi="Avenir 65" w:cs="Arial"/>
                <w:sz w:val="18"/>
                <w:szCs w:val="18"/>
              </w:rPr>
              <w:t>48%</w:t>
            </w:r>
          </w:p>
        </w:tc>
        <w:tc>
          <w:tcPr>
            <w:tcW w:w="769" w:type="dxa"/>
            <w:gridSpan w:val="2"/>
            <w:vAlign w:val="center"/>
          </w:tcPr>
          <w:p w14:paraId="7B4928E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43%</w:t>
            </w:r>
          </w:p>
        </w:tc>
        <w:tc>
          <w:tcPr>
            <w:tcW w:w="630" w:type="dxa"/>
            <w:tcBorders>
              <w:right w:val="single" w:sz="18" w:space="0" w:color="254247"/>
            </w:tcBorders>
            <w:vAlign w:val="center"/>
          </w:tcPr>
          <w:p w14:paraId="40B3914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FF0000"/>
                <w:sz w:val="18"/>
                <w:szCs w:val="18"/>
              </w:rPr>
              <w:sym w:font="Wingdings" w:char="F0EA"/>
            </w:r>
          </w:p>
        </w:tc>
        <w:tc>
          <w:tcPr>
            <w:tcW w:w="665" w:type="dxa"/>
            <w:tcBorders>
              <w:left w:val="single" w:sz="18" w:space="0" w:color="254247"/>
            </w:tcBorders>
            <w:vAlign w:val="center"/>
          </w:tcPr>
          <w:p w14:paraId="43D8CC1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42%</w:t>
            </w:r>
          </w:p>
        </w:tc>
        <w:tc>
          <w:tcPr>
            <w:tcW w:w="681" w:type="dxa"/>
            <w:tcBorders>
              <w:right w:val="single" w:sz="18" w:space="0" w:color="254247"/>
            </w:tcBorders>
            <w:vAlign w:val="center"/>
          </w:tcPr>
          <w:p w14:paraId="6F19BDBB"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45%</w:t>
            </w:r>
          </w:p>
        </w:tc>
        <w:tc>
          <w:tcPr>
            <w:tcW w:w="635" w:type="dxa"/>
            <w:gridSpan w:val="2"/>
            <w:tcBorders>
              <w:left w:val="single" w:sz="18" w:space="0" w:color="254247"/>
            </w:tcBorders>
            <w:shd w:val="clear" w:color="auto" w:fill="8BBAC3"/>
            <w:vAlign w:val="center"/>
          </w:tcPr>
          <w:p w14:paraId="49909E0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35" w:type="dxa"/>
            <w:gridSpan w:val="2"/>
            <w:shd w:val="clear" w:color="auto" w:fill="8BBAC3"/>
            <w:vAlign w:val="center"/>
          </w:tcPr>
          <w:p w14:paraId="4C0C40F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47%</w:t>
            </w:r>
          </w:p>
        </w:tc>
        <w:tc>
          <w:tcPr>
            <w:tcW w:w="635" w:type="dxa"/>
            <w:gridSpan w:val="2"/>
            <w:tcBorders>
              <w:right w:val="single" w:sz="18" w:space="0" w:color="254247"/>
            </w:tcBorders>
            <w:shd w:val="clear" w:color="auto" w:fill="F9CDC7"/>
            <w:vAlign w:val="center"/>
          </w:tcPr>
          <w:p w14:paraId="0D24772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35%</w:t>
            </w:r>
          </w:p>
        </w:tc>
        <w:tc>
          <w:tcPr>
            <w:tcW w:w="635" w:type="dxa"/>
            <w:gridSpan w:val="2"/>
            <w:tcBorders>
              <w:left w:val="single" w:sz="18" w:space="0" w:color="254247"/>
            </w:tcBorders>
            <w:shd w:val="clear" w:color="auto" w:fill="8BBAC3"/>
            <w:vAlign w:val="center"/>
          </w:tcPr>
          <w:p w14:paraId="4AFBFAF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59%</w:t>
            </w:r>
          </w:p>
        </w:tc>
        <w:tc>
          <w:tcPr>
            <w:tcW w:w="634" w:type="dxa"/>
            <w:vAlign w:val="center"/>
          </w:tcPr>
          <w:p w14:paraId="3FD6DF5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42%</w:t>
            </w:r>
          </w:p>
        </w:tc>
        <w:tc>
          <w:tcPr>
            <w:tcW w:w="635" w:type="dxa"/>
            <w:gridSpan w:val="2"/>
            <w:vAlign w:val="center"/>
          </w:tcPr>
          <w:p w14:paraId="31430D1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40%</w:t>
            </w:r>
          </w:p>
        </w:tc>
        <w:tc>
          <w:tcPr>
            <w:tcW w:w="635" w:type="dxa"/>
            <w:gridSpan w:val="2"/>
            <w:vAlign w:val="center"/>
          </w:tcPr>
          <w:p w14:paraId="745AB25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42%</w:t>
            </w:r>
          </w:p>
        </w:tc>
        <w:tc>
          <w:tcPr>
            <w:tcW w:w="635" w:type="dxa"/>
            <w:gridSpan w:val="2"/>
            <w:vAlign w:val="center"/>
          </w:tcPr>
          <w:p w14:paraId="567915F6"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38%</w:t>
            </w:r>
          </w:p>
        </w:tc>
        <w:tc>
          <w:tcPr>
            <w:tcW w:w="634" w:type="dxa"/>
            <w:gridSpan w:val="2"/>
            <w:vAlign w:val="center"/>
          </w:tcPr>
          <w:p w14:paraId="7E4C748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40%</w:t>
            </w:r>
          </w:p>
        </w:tc>
        <w:tc>
          <w:tcPr>
            <w:tcW w:w="635" w:type="dxa"/>
            <w:gridSpan w:val="2"/>
            <w:shd w:val="clear" w:color="auto" w:fill="F9CDC7"/>
            <w:vAlign w:val="center"/>
          </w:tcPr>
          <w:p w14:paraId="561F4A0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32%</w:t>
            </w:r>
          </w:p>
        </w:tc>
        <w:tc>
          <w:tcPr>
            <w:tcW w:w="635" w:type="dxa"/>
            <w:gridSpan w:val="2"/>
            <w:vAlign w:val="center"/>
          </w:tcPr>
          <w:p w14:paraId="09684A2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45%</w:t>
            </w:r>
          </w:p>
        </w:tc>
        <w:tc>
          <w:tcPr>
            <w:tcW w:w="635" w:type="dxa"/>
            <w:gridSpan w:val="2"/>
            <w:vAlign w:val="center"/>
          </w:tcPr>
          <w:p w14:paraId="00F1C94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47%</w:t>
            </w:r>
          </w:p>
        </w:tc>
        <w:tc>
          <w:tcPr>
            <w:tcW w:w="635" w:type="dxa"/>
            <w:gridSpan w:val="2"/>
            <w:shd w:val="clear" w:color="auto" w:fill="8BBAC3"/>
            <w:vAlign w:val="center"/>
          </w:tcPr>
          <w:p w14:paraId="56C3A672"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51%</w:t>
            </w:r>
          </w:p>
        </w:tc>
        <w:tc>
          <w:tcPr>
            <w:tcW w:w="634" w:type="dxa"/>
            <w:gridSpan w:val="2"/>
            <w:shd w:val="clear" w:color="auto" w:fill="8BBAC3"/>
            <w:vAlign w:val="center"/>
          </w:tcPr>
          <w:p w14:paraId="2AD554B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54%</w:t>
            </w:r>
          </w:p>
        </w:tc>
        <w:tc>
          <w:tcPr>
            <w:tcW w:w="635" w:type="dxa"/>
            <w:gridSpan w:val="2"/>
            <w:vAlign w:val="center"/>
          </w:tcPr>
          <w:p w14:paraId="551F7B45"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48%</w:t>
            </w:r>
          </w:p>
        </w:tc>
        <w:tc>
          <w:tcPr>
            <w:tcW w:w="639" w:type="dxa"/>
            <w:gridSpan w:val="2"/>
            <w:vAlign w:val="center"/>
          </w:tcPr>
          <w:p w14:paraId="33C8E5E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42%</w:t>
            </w:r>
          </w:p>
        </w:tc>
        <w:tc>
          <w:tcPr>
            <w:tcW w:w="498" w:type="dxa"/>
            <w:gridSpan w:val="2"/>
            <w:shd w:val="clear" w:color="auto" w:fill="F9CDC7"/>
            <w:vAlign w:val="center"/>
          </w:tcPr>
          <w:p w14:paraId="3D288E9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33%</w:t>
            </w:r>
          </w:p>
        </w:tc>
        <w:tc>
          <w:tcPr>
            <w:tcW w:w="567" w:type="dxa"/>
            <w:tcBorders>
              <w:right w:val="single" w:sz="12" w:space="0" w:color="8BBAC3"/>
            </w:tcBorders>
            <w:vAlign w:val="center"/>
          </w:tcPr>
          <w:p w14:paraId="57F3B94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Arial"/>
                <w:color w:val="010205"/>
                <w:sz w:val="18"/>
                <w:szCs w:val="18"/>
              </w:rPr>
            </w:pPr>
            <w:r w:rsidRPr="0007053D">
              <w:rPr>
                <w:rFonts w:ascii="Avenir 65" w:hAnsi="Avenir 65" w:cs="Arial"/>
                <w:color w:val="010205"/>
                <w:sz w:val="18"/>
                <w:szCs w:val="18"/>
              </w:rPr>
              <w:t>26%</w:t>
            </w:r>
          </w:p>
        </w:tc>
      </w:tr>
      <w:tr w:rsidR="0007053D" w:rsidRPr="0007053D" w14:paraId="1050629E"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7CACC09F"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 xml:space="preserve">Experienced discrimination </w:t>
            </w:r>
          </w:p>
        </w:tc>
        <w:tc>
          <w:tcPr>
            <w:tcW w:w="629" w:type="dxa"/>
            <w:vAlign w:val="center"/>
          </w:tcPr>
          <w:p w14:paraId="0A66874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p>
        </w:tc>
        <w:tc>
          <w:tcPr>
            <w:tcW w:w="769" w:type="dxa"/>
            <w:gridSpan w:val="2"/>
            <w:vAlign w:val="center"/>
          </w:tcPr>
          <w:p w14:paraId="1A61726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630" w:type="dxa"/>
            <w:tcBorders>
              <w:right w:val="single" w:sz="18" w:space="0" w:color="254247"/>
            </w:tcBorders>
            <w:vAlign w:val="center"/>
          </w:tcPr>
          <w:p w14:paraId="276EED0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New</w:t>
            </w:r>
          </w:p>
        </w:tc>
        <w:tc>
          <w:tcPr>
            <w:tcW w:w="665" w:type="dxa"/>
            <w:tcBorders>
              <w:left w:val="single" w:sz="18" w:space="0" w:color="254247"/>
            </w:tcBorders>
            <w:shd w:val="clear" w:color="auto" w:fill="F9CDC7"/>
            <w:vAlign w:val="center"/>
          </w:tcPr>
          <w:p w14:paraId="6587F8F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14%</w:t>
            </w:r>
          </w:p>
        </w:tc>
        <w:tc>
          <w:tcPr>
            <w:tcW w:w="681" w:type="dxa"/>
            <w:tcBorders>
              <w:right w:val="single" w:sz="18" w:space="0" w:color="254247"/>
            </w:tcBorders>
            <w:shd w:val="clear" w:color="auto" w:fill="8BBAC3"/>
            <w:vAlign w:val="center"/>
          </w:tcPr>
          <w:p w14:paraId="2C65EF6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c>
          <w:tcPr>
            <w:tcW w:w="635" w:type="dxa"/>
            <w:gridSpan w:val="2"/>
            <w:tcBorders>
              <w:left w:val="single" w:sz="18" w:space="0" w:color="254247"/>
            </w:tcBorders>
            <w:shd w:val="clear" w:color="auto" w:fill="8BBAC3"/>
            <w:vAlign w:val="center"/>
          </w:tcPr>
          <w:p w14:paraId="5D9DD83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635" w:type="dxa"/>
            <w:gridSpan w:val="2"/>
            <w:vAlign w:val="center"/>
          </w:tcPr>
          <w:p w14:paraId="0B7CD71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635" w:type="dxa"/>
            <w:gridSpan w:val="2"/>
            <w:tcBorders>
              <w:right w:val="single" w:sz="18" w:space="0" w:color="254247"/>
            </w:tcBorders>
            <w:shd w:val="clear" w:color="auto" w:fill="F9CDC7"/>
            <w:vAlign w:val="center"/>
          </w:tcPr>
          <w:p w14:paraId="4F53E1F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13%</w:t>
            </w:r>
          </w:p>
        </w:tc>
        <w:tc>
          <w:tcPr>
            <w:tcW w:w="635" w:type="dxa"/>
            <w:gridSpan w:val="2"/>
            <w:tcBorders>
              <w:left w:val="single" w:sz="18" w:space="0" w:color="254247"/>
            </w:tcBorders>
            <w:vAlign w:val="center"/>
          </w:tcPr>
          <w:p w14:paraId="6010E0C7"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634" w:type="dxa"/>
            <w:vAlign w:val="center"/>
          </w:tcPr>
          <w:p w14:paraId="028C0B8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9%</w:t>
            </w:r>
          </w:p>
        </w:tc>
        <w:tc>
          <w:tcPr>
            <w:tcW w:w="635" w:type="dxa"/>
            <w:gridSpan w:val="2"/>
            <w:vAlign w:val="center"/>
          </w:tcPr>
          <w:p w14:paraId="51A3470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14%</w:t>
            </w:r>
          </w:p>
        </w:tc>
        <w:tc>
          <w:tcPr>
            <w:tcW w:w="635" w:type="dxa"/>
            <w:gridSpan w:val="2"/>
            <w:vAlign w:val="center"/>
          </w:tcPr>
          <w:p w14:paraId="7FE9DE7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10%</w:t>
            </w:r>
          </w:p>
        </w:tc>
        <w:tc>
          <w:tcPr>
            <w:tcW w:w="635" w:type="dxa"/>
            <w:gridSpan w:val="2"/>
            <w:vAlign w:val="center"/>
          </w:tcPr>
          <w:p w14:paraId="4A079DA5"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15%</w:t>
            </w:r>
          </w:p>
        </w:tc>
        <w:tc>
          <w:tcPr>
            <w:tcW w:w="634" w:type="dxa"/>
            <w:gridSpan w:val="2"/>
            <w:vAlign w:val="center"/>
          </w:tcPr>
          <w:p w14:paraId="2137A1E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635" w:type="dxa"/>
            <w:gridSpan w:val="2"/>
            <w:vAlign w:val="center"/>
          </w:tcPr>
          <w:p w14:paraId="6E49ED8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c>
          <w:tcPr>
            <w:tcW w:w="635" w:type="dxa"/>
            <w:gridSpan w:val="2"/>
            <w:vAlign w:val="center"/>
          </w:tcPr>
          <w:p w14:paraId="252A6E7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15%</w:t>
            </w:r>
          </w:p>
        </w:tc>
        <w:tc>
          <w:tcPr>
            <w:tcW w:w="635" w:type="dxa"/>
            <w:gridSpan w:val="2"/>
            <w:vAlign w:val="center"/>
          </w:tcPr>
          <w:p w14:paraId="67DCD95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17%</w:t>
            </w:r>
          </w:p>
        </w:tc>
        <w:tc>
          <w:tcPr>
            <w:tcW w:w="635" w:type="dxa"/>
            <w:gridSpan w:val="2"/>
            <w:vAlign w:val="center"/>
          </w:tcPr>
          <w:p w14:paraId="1E8BDAF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c>
          <w:tcPr>
            <w:tcW w:w="634" w:type="dxa"/>
            <w:gridSpan w:val="2"/>
            <w:vAlign w:val="center"/>
          </w:tcPr>
          <w:p w14:paraId="765B29B0"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635" w:type="dxa"/>
            <w:gridSpan w:val="2"/>
            <w:vAlign w:val="center"/>
          </w:tcPr>
          <w:p w14:paraId="225B327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639" w:type="dxa"/>
            <w:gridSpan w:val="2"/>
            <w:vAlign w:val="center"/>
          </w:tcPr>
          <w:p w14:paraId="1FAC881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498" w:type="dxa"/>
            <w:gridSpan w:val="2"/>
            <w:vAlign w:val="center"/>
          </w:tcPr>
          <w:p w14:paraId="38EE2B1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18%</w:t>
            </w:r>
          </w:p>
        </w:tc>
        <w:tc>
          <w:tcPr>
            <w:tcW w:w="567" w:type="dxa"/>
            <w:tcBorders>
              <w:right w:val="single" w:sz="12" w:space="0" w:color="8BBAC3"/>
            </w:tcBorders>
            <w:vAlign w:val="center"/>
          </w:tcPr>
          <w:p w14:paraId="23F88699"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20%</w:t>
            </w:r>
          </w:p>
        </w:tc>
      </w:tr>
      <w:tr w:rsidR="00A33EBF" w:rsidRPr="0007053D" w14:paraId="784DF2AA" w14:textId="77777777" w:rsidTr="000705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6E4025D"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Very concerned about climate change</w:t>
            </w:r>
          </w:p>
        </w:tc>
        <w:tc>
          <w:tcPr>
            <w:tcW w:w="629" w:type="dxa"/>
            <w:vAlign w:val="center"/>
          </w:tcPr>
          <w:p w14:paraId="243BA81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769" w:type="dxa"/>
            <w:gridSpan w:val="2"/>
            <w:vAlign w:val="center"/>
          </w:tcPr>
          <w:p w14:paraId="1FAD43F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630" w:type="dxa"/>
            <w:tcBorders>
              <w:right w:val="single" w:sz="18" w:space="0" w:color="254247"/>
            </w:tcBorders>
            <w:vAlign w:val="center"/>
          </w:tcPr>
          <w:p w14:paraId="551535FE"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color w:val="F08374"/>
                <w:sz w:val="18"/>
                <w:szCs w:val="18"/>
              </w:rPr>
              <w:sym w:font="Wingdings" w:char="F0E8"/>
            </w:r>
          </w:p>
        </w:tc>
        <w:tc>
          <w:tcPr>
            <w:tcW w:w="665" w:type="dxa"/>
            <w:tcBorders>
              <w:left w:val="single" w:sz="18" w:space="0" w:color="254247"/>
            </w:tcBorders>
            <w:shd w:val="clear" w:color="auto" w:fill="F9CDC7"/>
            <w:vAlign w:val="center"/>
          </w:tcPr>
          <w:p w14:paraId="29C53441"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22%</w:t>
            </w:r>
          </w:p>
        </w:tc>
        <w:tc>
          <w:tcPr>
            <w:tcW w:w="681" w:type="dxa"/>
            <w:tcBorders>
              <w:right w:val="single" w:sz="18" w:space="0" w:color="254247"/>
            </w:tcBorders>
            <w:shd w:val="clear" w:color="auto" w:fill="8BBAC3"/>
            <w:vAlign w:val="center"/>
          </w:tcPr>
          <w:p w14:paraId="0D72796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34%</w:t>
            </w:r>
          </w:p>
        </w:tc>
        <w:tc>
          <w:tcPr>
            <w:tcW w:w="635" w:type="dxa"/>
            <w:gridSpan w:val="2"/>
            <w:tcBorders>
              <w:left w:val="single" w:sz="18" w:space="0" w:color="254247"/>
            </w:tcBorders>
            <w:vAlign w:val="center"/>
          </w:tcPr>
          <w:p w14:paraId="7BA9464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32%</w:t>
            </w:r>
          </w:p>
        </w:tc>
        <w:tc>
          <w:tcPr>
            <w:tcW w:w="635" w:type="dxa"/>
            <w:gridSpan w:val="2"/>
            <w:vAlign w:val="center"/>
          </w:tcPr>
          <w:p w14:paraId="27FAF3E8"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35" w:type="dxa"/>
            <w:gridSpan w:val="2"/>
            <w:tcBorders>
              <w:right w:val="single" w:sz="18" w:space="0" w:color="254247"/>
            </w:tcBorders>
            <w:vAlign w:val="center"/>
          </w:tcPr>
          <w:p w14:paraId="616BCF8A"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28%</w:t>
            </w:r>
          </w:p>
        </w:tc>
        <w:tc>
          <w:tcPr>
            <w:tcW w:w="635" w:type="dxa"/>
            <w:gridSpan w:val="2"/>
            <w:tcBorders>
              <w:left w:val="single" w:sz="18" w:space="0" w:color="254247"/>
            </w:tcBorders>
            <w:vAlign w:val="center"/>
          </w:tcPr>
          <w:p w14:paraId="0005CD2F"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30%</w:t>
            </w:r>
          </w:p>
        </w:tc>
        <w:tc>
          <w:tcPr>
            <w:tcW w:w="634" w:type="dxa"/>
            <w:vAlign w:val="center"/>
          </w:tcPr>
          <w:p w14:paraId="799D34B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30%</w:t>
            </w:r>
          </w:p>
        </w:tc>
        <w:tc>
          <w:tcPr>
            <w:tcW w:w="635" w:type="dxa"/>
            <w:gridSpan w:val="2"/>
            <w:vAlign w:val="center"/>
          </w:tcPr>
          <w:p w14:paraId="1EFBB2D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35" w:type="dxa"/>
            <w:gridSpan w:val="2"/>
            <w:vAlign w:val="center"/>
          </w:tcPr>
          <w:p w14:paraId="390799A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c>
          <w:tcPr>
            <w:tcW w:w="635" w:type="dxa"/>
            <w:gridSpan w:val="2"/>
            <w:vAlign w:val="center"/>
          </w:tcPr>
          <w:p w14:paraId="739F399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26%</w:t>
            </w:r>
          </w:p>
        </w:tc>
        <w:tc>
          <w:tcPr>
            <w:tcW w:w="634" w:type="dxa"/>
            <w:gridSpan w:val="2"/>
            <w:vAlign w:val="center"/>
          </w:tcPr>
          <w:p w14:paraId="3E715B74"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25%</w:t>
            </w:r>
          </w:p>
        </w:tc>
        <w:tc>
          <w:tcPr>
            <w:tcW w:w="635" w:type="dxa"/>
            <w:gridSpan w:val="2"/>
            <w:vAlign w:val="center"/>
          </w:tcPr>
          <w:p w14:paraId="1DCE45E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35" w:type="dxa"/>
            <w:gridSpan w:val="2"/>
            <w:vAlign w:val="center"/>
          </w:tcPr>
          <w:p w14:paraId="0D5BD9A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30%</w:t>
            </w:r>
          </w:p>
        </w:tc>
        <w:tc>
          <w:tcPr>
            <w:tcW w:w="635" w:type="dxa"/>
            <w:gridSpan w:val="2"/>
            <w:vAlign w:val="center"/>
          </w:tcPr>
          <w:p w14:paraId="17B99A63"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34%</w:t>
            </w:r>
          </w:p>
        </w:tc>
        <w:tc>
          <w:tcPr>
            <w:tcW w:w="635" w:type="dxa"/>
            <w:gridSpan w:val="2"/>
            <w:vAlign w:val="center"/>
          </w:tcPr>
          <w:p w14:paraId="46647CB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36%</w:t>
            </w:r>
          </w:p>
        </w:tc>
        <w:tc>
          <w:tcPr>
            <w:tcW w:w="634" w:type="dxa"/>
            <w:gridSpan w:val="2"/>
            <w:vAlign w:val="center"/>
          </w:tcPr>
          <w:p w14:paraId="18114D87"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24%</w:t>
            </w:r>
          </w:p>
        </w:tc>
        <w:tc>
          <w:tcPr>
            <w:tcW w:w="635" w:type="dxa"/>
            <w:gridSpan w:val="2"/>
            <w:vAlign w:val="center"/>
          </w:tcPr>
          <w:p w14:paraId="6AD7EDBC"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34%</w:t>
            </w:r>
          </w:p>
        </w:tc>
        <w:tc>
          <w:tcPr>
            <w:tcW w:w="639" w:type="dxa"/>
            <w:gridSpan w:val="2"/>
            <w:vAlign w:val="center"/>
          </w:tcPr>
          <w:p w14:paraId="78C84040"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29%</w:t>
            </w:r>
          </w:p>
        </w:tc>
        <w:tc>
          <w:tcPr>
            <w:tcW w:w="498" w:type="dxa"/>
            <w:gridSpan w:val="2"/>
            <w:vAlign w:val="center"/>
          </w:tcPr>
          <w:p w14:paraId="3555DA4D"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21%</w:t>
            </w:r>
          </w:p>
        </w:tc>
        <w:tc>
          <w:tcPr>
            <w:tcW w:w="567" w:type="dxa"/>
            <w:tcBorders>
              <w:right w:val="single" w:sz="12" w:space="0" w:color="8BBAC3"/>
            </w:tcBorders>
            <w:vAlign w:val="center"/>
          </w:tcPr>
          <w:p w14:paraId="39A489F9" w14:textId="77777777" w:rsidR="0080045B" w:rsidRPr="0007053D" w:rsidRDefault="0080045B" w:rsidP="0080045B">
            <w:pPr>
              <w:jc w:val="center"/>
              <w:cnfStyle w:val="000000100000" w:firstRow="0" w:lastRow="0" w:firstColumn="0" w:lastColumn="0" w:oddVBand="0" w:evenVBand="0" w:oddHBand="1"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23%</w:t>
            </w:r>
          </w:p>
        </w:tc>
      </w:tr>
      <w:tr w:rsidR="00A33EBF" w:rsidRPr="0007053D" w14:paraId="02DA467F" w14:textId="77777777" w:rsidTr="0007053D">
        <w:tc>
          <w:tcPr>
            <w:cnfStyle w:val="001000000000" w:firstRow="0" w:lastRow="0" w:firstColumn="1" w:lastColumn="0" w:oddVBand="0" w:evenVBand="0" w:oddHBand="0" w:evenHBand="0" w:firstRowFirstColumn="0" w:firstRowLastColumn="0" w:lastRowFirstColumn="0" w:lastRowLastColumn="0"/>
            <w:tcW w:w="1560" w:type="dxa"/>
          </w:tcPr>
          <w:p w14:paraId="61636276" w14:textId="77777777" w:rsidR="0080045B" w:rsidRPr="0007053D" w:rsidRDefault="0080045B" w:rsidP="0080045B">
            <w:pPr>
              <w:spacing w:before="10" w:after="10"/>
              <w:rPr>
                <w:rFonts w:ascii="Avenir 65" w:hAnsi="Avenir 65" w:cs="Times New Roman"/>
                <w:sz w:val="18"/>
                <w:szCs w:val="18"/>
              </w:rPr>
            </w:pPr>
            <w:r w:rsidRPr="0007053D">
              <w:rPr>
                <w:rFonts w:ascii="Avenir 65" w:hAnsi="Avenir 65" w:cs="Times New Roman"/>
                <w:sz w:val="18"/>
                <w:szCs w:val="18"/>
              </w:rPr>
              <w:t>Temperature always uncomfortable</w:t>
            </w:r>
          </w:p>
        </w:tc>
        <w:tc>
          <w:tcPr>
            <w:tcW w:w="629" w:type="dxa"/>
            <w:vAlign w:val="center"/>
          </w:tcPr>
          <w:p w14:paraId="3CC528B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p>
        </w:tc>
        <w:tc>
          <w:tcPr>
            <w:tcW w:w="769" w:type="dxa"/>
            <w:gridSpan w:val="2"/>
            <w:vAlign w:val="center"/>
          </w:tcPr>
          <w:p w14:paraId="72B7411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w:t>
            </w:r>
          </w:p>
        </w:tc>
        <w:tc>
          <w:tcPr>
            <w:tcW w:w="630" w:type="dxa"/>
            <w:tcBorders>
              <w:right w:val="single" w:sz="18" w:space="0" w:color="254247"/>
            </w:tcBorders>
            <w:vAlign w:val="center"/>
          </w:tcPr>
          <w:p w14:paraId="7B48853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New</w:t>
            </w:r>
          </w:p>
        </w:tc>
        <w:tc>
          <w:tcPr>
            <w:tcW w:w="665" w:type="dxa"/>
            <w:tcBorders>
              <w:left w:val="single" w:sz="18" w:space="0" w:color="254247"/>
            </w:tcBorders>
            <w:shd w:val="clear" w:color="auto" w:fill="F9CDC7"/>
            <w:vAlign w:val="center"/>
          </w:tcPr>
          <w:p w14:paraId="282C616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5%</w:t>
            </w:r>
          </w:p>
        </w:tc>
        <w:tc>
          <w:tcPr>
            <w:tcW w:w="681" w:type="dxa"/>
            <w:tcBorders>
              <w:right w:val="single" w:sz="18" w:space="0" w:color="254247"/>
            </w:tcBorders>
            <w:shd w:val="clear" w:color="auto" w:fill="8BBAC3"/>
            <w:vAlign w:val="center"/>
          </w:tcPr>
          <w:p w14:paraId="49A2A4EF"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9%</w:t>
            </w:r>
          </w:p>
        </w:tc>
        <w:tc>
          <w:tcPr>
            <w:tcW w:w="635" w:type="dxa"/>
            <w:gridSpan w:val="2"/>
            <w:tcBorders>
              <w:left w:val="single" w:sz="18" w:space="0" w:color="254247"/>
            </w:tcBorders>
            <w:shd w:val="clear" w:color="auto" w:fill="8BBAC3"/>
            <w:vAlign w:val="center"/>
          </w:tcPr>
          <w:p w14:paraId="7F9E34D8"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12%</w:t>
            </w:r>
          </w:p>
        </w:tc>
        <w:tc>
          <w:tcPr>
            <w:tcW w:w="635" w:type="dxa"/>
            <w:gridSpan w:val="2"/>
            <w:shd w:val="clear" w:color="auto" w:fill="8BBAC3"/>
            <w:vAlign w:val="center"/>
          </w:tcPr>
          <w:p w14:paraId="735E425E"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w:t>
            </w:r>
          </w:p>
        </w:tc>
        <w:tc>
          <w:tcPr>
            <w:tcW w:w="635" w:type="dxa"/>
            <w:gridSpan w:val="2"/>
            <w:tcBorders>
              <w:right w:val="single" w:sz="18" w:space="0" w:color="254247"/>
            </w:tcBorders>
            <w:shd w:val="clear" w:color="auto" w:fill="F9CDC7"/>
            <w:vAlign w:val="center"/>
          </w:tcPr>
          <w:p w14:paraId="022512C1"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w:t>
            </w:r>
          </w:p>
        </w:tc>
        <w:tc>
          <w:tcPr>
            <w:tcW w:w="635" w:type="dxa"/>
            <w:gridSpan w:val="2"/>
            <w:tcBorders>
              <w:left w:val="single" w:sz="18" w:space="0" w:color="254247"/>
            </w:tcBorders>
            <w:vAlign w:val="center"/>
          </w:tcPr>
          <w:p w14:paraId="634D1A4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w:t>
            </w:r>
          </w:p>
        </w:tc>
        <w:tc>
          <w:tcPr>
            <w:tcW w:w="634" w:type="dxa"/>
            <w:shd w:val="clear" w:color="auto" w:fill="F9CDC7"/>
            <w:vAlign w:val="center"/>
          </w:tcPr>
          <w:p w14:paraId="1FF6F1EA"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w:t>
            </w:r>
          </w:p>
        </w:tc>
        <w:tc>
          <w:tcPr>
            <w:tcW w:w="635" w:type="dxa"/>
            <w:gridSpan w:val="2"/>
            <w:vAlign w:val="center"/>
          </w:tcPr>
          <w:p w14:paraId="5FAB64B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w:t>
            </w:r>
          </w:p>
        </w:tc>
        <w:tc>
          <w:tcPr>
            <w:tcW w:w="635" w:type="dxa"/>
            <w:gridSpan w:val="2"/>
            <w:vAlign w:val="center"/>
          </w:tcPr>
          <w:p w14:paraId="4D44927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9%</w:t>
            </w:r>
          </w:p>
        </w:tc>
        <w:tc>
          <w:tcPr>
            <w:tcW w:w="635" w:type="dxa"/>
            <w:gridSpan w:val="2"/>
            <w:vAlign w:val="center"/>
          </w:tcPr>
          <w:p w14:paraId="5AB4612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3%</w:t>
            </w:r>
          </w:p>
        </w:tc>
        <w:tc>
          <w:tcPr>
            <w:tcW w:w="634" w:type="dxa"/>
            <w:gridSpan w:val="2"/>
            <w:shd w:val="clear" w:color="auto" w:fill="8BBAC3"/>
            <w:vAlign w:val="center"/>
          </w:tcPr>
          <w:p w14:paraId="54FF372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9%</w:t>
            </w:r>
          </w:p>
        </w:tc>
        <w:tc>
          <w:tcPr>
            <w:tcW w:w="635" w:type="dxa"/>
            <w:gridSpan w:val="2"/>
            <w:shd w:val="clear" w:color="auto" w:fill="8BBAC3"/>
            <w:vAlign w:val="center"/>
          </w:tcPr>
          <w:p w14:paraId="5DF2EEC3"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9%</w:t>
            </w:r>
          </w:p>
        </w:tc>
        <w:tc>
          <w:tcPr>
            <w:tcW w:w="635" w:type="dxa"/>
            <w:gridSpan w:val="2"/>
            <w:shd w:val="clear" w:color="auto" w:fill="F9CDC7"/>
            <w:vAlign w:val="center"/>
          </w:tcPr>
          <w:p w14:paraId="4BBE9FC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4%</w:t>
            </w:r>
          </w:p>
        </w:tc>
        <w:tc>
          <w:tcPr>
            <w:tcW w:w="635" w:type="dxa"/>
            <w:gridSpan w:val="2"/>
            <w:shd w:val="clear" w:color="auto" w:fill="F9CDC7"/>
            <w:vAlign w:val="center"/>
          </w:tcPr>
          <w:p w14:paraId="6B03A50C"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2%</w:t>
            </w:r>
          </w:p>
        </w:tc>
        <w:tc>
          <w:tcPr>
            <w:tcW w:w="635" w:type="dxa"/>
            <w:gridSpan w:val="2"/>
            <w:vAlign w:val="center"/>
          </w:tcPr>
          <w:p w14:paraId="05DFB9D2"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w:t>
            </w:r>
          </w:p>
        </w:tc>
        <w:tc>
          <w:tcPr>
            <w:tcW w:w="634" w:type="dxa"/>
            <w:gridSpan w:val="2"/>
            <w:shd w:val="clear" w:color="auto" w:fill="8BBAC3"/>
            <w:vAlign w:val="center"/>
          </w:tcPr>
          <w:p w14:paraId="72E8558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15%</w:t>
            </w:r>
          </w:p>
        </w:tc>
        <w:tc>
          <w:tcPr>
            <w:tcW w:w="635" w:type="dxa"/>
            <w:gridSpan w:val="2"/>
            <w:vAlign w:val="center"/>
          </w:tcPr>
          <w:p w14:paraId="5625E446"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7%</w:t>
            </w:r>
          </w:p>
        </w:tc>
        <w:tc>
          <w:tcPr>
            <w:tcW w:w="639" w:type="dxa"/>
            <w:gridSpan w:val="2"/>
            <w:shd w:val="clear" w:color="auto" w:fill="8BBAC3"/>
            <w:vAlign w:val="center"/>
          </w:tcPr>
          <w:p w14:paraId="06B32F2B"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16%</w:t>
            </w:r>
          </w:p>
        </w:tc>
        <w:tc>
          <w:tcPr>
            <w:tcW w:w="498" w:type="dxa"/>
            <w:gridSpan w:val="2"/>
            <w:vAlign w:val="center"/>
          </w:tcPr>
          <w:p w14:paraId="23254104"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6%</w:t>
            </w:r>
          </w:p>
        </w:tc>
        <w:tc>
          <w:tcPr>
            <w:tcW w:w="567" w:type="dxa"/>
            <w:tcBorders>
              <w:right w:val="single" w:sz="12" w:space="0" w:color="8BBAC3"/>
            </w:tcBorders>
            <w:shd w:val="clear" w:color="auto" w:fill="8BBAC3"/>
            <w:vAlign w:val="center"/>
          </w:tcPr>
          <w:p w14:paraId="673BF95D" w14:textId="77777777" w:rsidR="0080045B" w:rsidRPr="0007053D" w:rsidRDefault="0080045B" w:rsidP="0080045B">
            <w:pPr>
              <w:jc w:val="center"/>
              <w:cnfStyle w:val="000000000000" w:firstRow="0" w:lastRow="0" w:firstColumn="0" w:lastColumn="0" w:oddVBand="0" w:evenVBand="0" w:oddHBand="0" w:evenHBand="0" w:firstRowFirstColumn="0" w:firstRowLastColumn="0" w:lastRowFirstColumn="0" w:lastRowLastColumn="0"/>
              <w:rPr>
                <w:rFonts w:ascii="Avenir 65" w:hAnsi="Avenir 65" w:cs="Times New Roman"/>
                <w:sz w:val="18"/>
                <w:szCs w:val="18"/>
              </w:rPr>
            </w:pPr>
            <w:r w:rsidRPr="0007053D">
              <w:rPr>
                <w:rFonts w:ascii="Avenir 65" w:hAnsi="Avenir 65" w:cs="Times New Roman"/>
                <w:sz w:val="18"/>
                <w:szCs w:val="18"/>
              </w:rPr>
              <w:t>11</w:t>
            </w:r>
            <w:r w:rsidRPr="0007053D">
              <w:rPr>
                <w:rFonts w:ascii="Avenir 65" w:hAnsi="Avenir 65" w:cs="Times New Roman"/>
                <w:sz w:val="18"/>
                <w:szCs w:val="18"/>
                <w:shd w:val="clear" w:color="auto" w:fill="8BBAC3"/>
              </w:rPr>
              <w:t>%</w:t>
            </w:r>
          </w:p>
        </w:tc>
      </w:tr>
    </w:tbl>
    <w:p w14:paraId="7ACF58D0" w14:textId="77777777" w:rsidR="0007053D" w:rsidRDefault="0080045B" w:rsidP="0007053D">
      <w:pPr>
        <w:spacing w:after="120" w:line="276" w:lineRule="auto"/>
        <w:rPr>
          <w:rFonts w:ascii="Avenir 65" w:eastAsia="Times New Roman" w:hAnsi="Avenir 65" w:cs="Times New Roman"/>
          <w:kern w:val="0"/>
          <w:sz w:val="18"/>
          <w:szCs w:val="18"/>
          <w14:ligatures w14:val="none"/>
        </w:rPr>
      </w:pPr>
      <w:r w:rsidRPr="0007053D">
        <w:rPr>
          <w:rFonts w:ascii="Avenir 65" w:eastAsia="Times New Roman" w:hAnsi="Avenir 65" w:cs="Times New Roman"/>
          <w:color w:val="F08374"/>
          <w:kern w:val="0"/>
          <w:sz w:val="18"/>
          <w:szCs w:val="18"/>
          <w14:ligatures w14:val="none"/>
        </w:rPr>
        <w:t>**</w:t>
      </w:r>
      <w:r w:rsidRPr="0007053D">
        <w:rPr>
          <w:rFonts w:ascii="Avenir 65" w:eastAsia="Times New Roman" w:hAnsi="Avenir 65" w:cs="Times New Roman"/>
          <w:kern w:val="0"/>
          <w:sz w:val="18"/>
          <w:szCs w:val="18"/>
          <w14:ligatures w14:val="none"/>
        </w:rPr>
        <w:t xml:space="preserve"> Decrease in smoking rate is attributable to survey mode.</w:t>
      </w:r>
    </w:p>
    <w:p w14:paraId="2C3091E6" w14:textId="7F8F2855" w:rsidR="0080045B" w:rsidRPr="0080045B" w:rsidRDefault="0080045B" w:rsidP="0007053D">
      <w:pPr>
        <w:spacing w:after="120" w:line="276" w:lineRule="auto"/>
      </w:pPr>
    </w:p>
    <w:sectPr w:rsidR="0080045B" w:rsidRPr="0080045B" w:rsidSect="0007053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35222" w14:textId="77777777" w:rsidR="00190072" w:rsidRDefault="00190072" w:rsidP="00922098">
      <w:pPr>
        <w:spacing w:after="0" w:line="240" w:lineRule="auto"/>
      </w:pPr>
      <w:r>
        <w:separator/>
      </w:r>
    </w:p>
  </w:endnote>
  <w:endnote w:type="continuationSeparator" w:id="0">
    <w:p w14:paraId="39DE7DF0" w14:textId="77777777" w:rsidR="00190072" w:rsidRDefault="00190072" w:rsidP="0092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65">
    <w:altName w:val="Cambria"/>
    <w:panose1 w:val="00000000000000000000"/>
    <w:charset w:val="00"/>
    <w:family w:val="modern"/>
    <w:notTrueType/>
    <w:pitch w:val="variable"/>
    <w:sig w:usb0="8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62D4" w14:textId="77777777" w:rsidR="008E70D3" w:rsidRDefault="008E70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088348"/>
      <w:docPartObj>
        <w:docPartGallery w:val="Page Numbers (Bottom of Page)"/>
        <w:docPartUnique/>
      </w:docPartObj>
    </w:sdtPr>
    <w:sdtEndPr>
      <w:rPr>
        <w:noProof/>
      </w:rPr>
    </w:sdtEndPr>
    <w:sdtContent>
      <w:p w14:paraId="44D49B45" w14:textId="5D1DCD04" w:rsidR="0055150A" w:rsidRDefault="005515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AA9C01" w14:textId="77777777" w:rsidR="00922098" w:rsidRDefault="00922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334A" w14:textId="77777777" w:rsidR="008E70D3" w:rsidRDefault="008E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B5C6B" w14:textId="77777777" w:rsidR="00190072" w:rsidRDefault="00190072" w:rsidP="00922098">
      <w:pPr>
        <w:spacing w:after="0" w:line="240" w:lineRule="auto"/>
      </w:pPr>
      <w:r>
        <w:separator/>
      </w:r>
    </w:p>
  </w:footnote>
  <w:footnote w:type="continuationSeparator" w:id="0">
    <w:p w14:paraId="3A1B4FDA" w14:textId="77777777" w:rsidR="00190072" w:rsidRDefault="00190072" w:rsidP="00922098">
      <w:pPr>
        <w:spacing w:after="0" w:line="240" w:lineRule="auto"/>
      </w:pPr>
      <w:r>
        <w:continuationSeparator/>
      </w:r>
    </w:p>
  </w:footnote>
  <w:footnote w:id="1">
    <w:p w14:paraId="7F103765" w14:textId="77777777" w:rsidR="00922098" w:rsidRDefault="00922098" w:rsidP="00922098">
      <w:pPr>
        <w:pStyle w:val="FootnoteText"/>
      </w:pPr>
      <w:r>
        <w:rPr>
          <w:rStyle w:val="FootnoteReference"/>
        </w:rPr>
        <w:footnoteRef/>
      </w:r>
      <w:r>
        <w:t xml:space="preserve"> To be interpreted with caution due to low sample size.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B8C9" w14:textId="77777777" w:rsidR="008E70D3" w:rsidRDefault="008E7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F4F5" w14:textId="77777777" w:rsidR="008E70D3" w:rsidRDefault="008E7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EA9E" w14:textId="77777777" w:rsidR="008E70D3" w:rsidRDefault="008E7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30C9"/>
    <w:multiLevelType w:val="hybridMultilevel"/>
    <w:tmpl w:val="8AF43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C763C"/>
    <w:multiLevelType w:val="hybridMultilevel"/>
    <w:tmpl w:val="5DEA7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E22634"/>
    <w:multiLevelType w:val="hybridMultilevel"/>
    <w:tmpl w:val="B7B0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494FD0"/>
    <w:multiLevelType w:val="hybridMultilevel"/>
    <w:tmpl w:val="681C8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3F3A4C"/>
    <w:multiLevelType w:val="hybridMultilevel"/>
    <w:tmpl w:val="8DB83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624228"/>
    <w:multiLevelType w:val="hybridMultilevel"/>
    <w:tmpl w:val="733C3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533A5B"/>
    <w:multiLevelType w:val="hybridMultilevel"/>
    <w:tmpl w:val="D50E1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FD2E4E"/>
    <w:multiLevelType w:val="hybridMultilevel"/>
    <w:tmpl w:val="22FC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094A93"/>
    <w:multiLevelType w:val="hybridMultilevel"/>
    <w:tmpl w:val="3AB6E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596AA6"/>
    <w:multiLevelType w:val="hybridMultilevel"/>
    <w:tmpl w:val="5A5C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BA3144"/>
    <w:multiLevelType w:val="hybridMultilevel"/>
    <w:tmpl w:val="7554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616807"/>
    <w:multiLevelType w:val="hybridMultilevel"/>
    <w:tmpl w:val="63345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B5415E"/>
    <w:multiLevelType w:val="hybridMultilevel"/>
    <w:tmpl w:val="718EC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153187"/>
    <w:multiLevelType w:val="hybridMultilevel"/>
    <w:tmpl w:val="7B04A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8563376">
    <w:abstractNumId w:val="7"/>
  </w:num>
  <w:num w:numId="2" w16cid:durableId="1585064674">
    <w:abstractNumId w:val="12"/>
  </w:num>
  <w:num w:numId="3" w16cid:durableId="152647793">
    <w:abstractNumId w:val="2"/>
  </w:num>
  <w:num w:numId="4" w16cid:durableId="1986817447">
    <w:abstractNumId w:val="10"/>
  </w:num>
  <w:num w:numId="5" w16cid:durableId="142166728">
    <w:abstractNumId w:val="1"/>
  </w:num>
  <w:num w:numId="6" w16cid:durableId="1294869161">
    <w:abstractNumId w:val="4"/>
  </w:num>
  <w:num w:numId="7" w16cid:durableId="2052605838">
    <w:abstractNumId w:val="5"/>
  </w:num>
  <w:num w:numId="8" w16cid:durableId="1943490850">
    <w:abstractNumId w:val="3"/>
  </w:num>
  <w:num w:numId="9" w16cid:durableId="327557589">
    <w:abstractNumId w:val="11"/>
  </w:num>
  <w:num w:numId="10" w16cid:durableId="1269461540">
    <w:abstractNumId w:val="6"/>
  </w:num>
  <w:num w:numId="11" w16cid:durableId="582222470">
    <w:abstractNumId w:val="0"/>
  </w:num>
  <w:num w:numId="12" w16cid:durableId="865407795">
    <w:abstractNumId w:val="8"/>
  </w:num>
  <w:num w:numId="13" w16cid:durableId="788357310">
    <w:abstractNumId w:val="13"/>
  </w:num>
  <w:num w:numId="14" w16cid:durableId="13438947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c/fNbIJZuT3GFVceVmrMn0VvEHEcIx9nP0D46gW1EYxYVQPWQyHcQr7mSPuPDA5UTs8CfA8SKm/5SjMjvaB2A==" w:salt="IhWE7Q+LB+qHOsRSHjKd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98"/>
    <w:rsid w:val="000049D8"/>
    <w:rsid w:val="0007053D"/>
    <w:rsid w:val="00082CF2"/>
    <w:rsid w:val="001607E7"/>
    <w:rsid w:val="00190072"/>
    <w:rsid w:val="002B5967"/>
    <w:rsid w:val="0055150A"/>
    <w:rsid w:val="0071637E"/>
    <w:rsid w:val="0079287D"/>
    <w:rsid w:val="0080045B"/>
    <w:rsid w:val="00854573"/>
    <w:rsid w:val="008E70D3"/>
    <w:rsid w:val="00922098"/>
    <w:rsid w:val="00A27284"/>
    <w:rsid w:val="00A33EBF"/>
    <w:rsid w:val="00AC3530"/>
    <w:rsid w:val="00B95BAA"/>
    <w:rsid w:val="00CF5C2E"/>
    <w:rsid w:val="00DB6442"/>
    <w:rsid w:val="00E45242"/>
    <w:rsid w:val="00F06123"/>
    <w:rsid w:val="00F24183"/>
    <w:rsid w:val="00F96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882E"/>
  <w15:chartTrackingRefBased/>
  <w15:docId w15:val="{EF8FBADB-3B8C-4E9C-844C-D468E9B6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0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0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0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0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0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0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0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0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0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0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0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0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0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0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0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098"/>
    <w:rPr>
      <w:rFonts w:eastAsiaTheme="majorEastAsia" w:cstheme="majorBidi"/>
      <w:color w:val="272727" w:themeColor="text1" w:themeTint="D8"/>
    </w:rPr>
  </w:style>
  <w:style w:type="paragraph" w:styleId="Title">
    <w:name w:val="Title"/>
    <w:basedOn w:val="Normal"/>
    <w:next w:val="Normal"/>
    <w:link w:val="TitleChar"/>
    <w:uiPriority w:val="10"/>
    <w:qFormat/>
    <w:rsid w:val="0092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0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0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0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098"/>
    <w:pPr>
      <w:spacing w:before="160"/>
      <w:jc w:val="center"/>
    </w:pPr>
    <w:rPr>
      <w:i/>
      <w:iCs/>
      <w:color w:val="404040" w:themeColor="text1" w:themeTint="BF"/>
    </w:rPr>
  </w:style>
  <w:style w:type="character" w:customStyle="1" w:styleId="QuoteChar">
    <w:name w:val="Quote Char"/>
    <w:basedOn w:val="DefaultParagraphFont"/>
    <w:link w:val="Quote"/>
    <w:uiPriority w:val="29"/>
    <w:rsid w:val="00922098"/>
    <w:rPr>
      <w:i/>
      <w:iCs/>
      <w:color w:val="404040" w:themeColor="text1" w:themeTint="BF"/>
    </w:rPr>
  </w:style>
  <w:style w:type="paragraph" w:styleId="ListParagraph">
    <w:name w:val="List Paragraph"/>
    <w:basedOn w:val="Normal"/>
    <w:link w:val="ListParagraphChar"/>
    <w:uiPriority w:val="34"/>
    <w:qFormat/>
    <w:rsid w:val="00922098"/>
    <w:pPr>
      <w:ind w:left="720"/>
      <w:contextualSpacing/>
    </w:pPr>
  </w:style>
  <w:style w:type="character" w:styleId="IntenseEmphasis">
    <w:name w:val="Intense Emphasis"/>
    <w:basedOn w:val="DefaultParagraphFont"/>
    <w:uiPriority w:val="21"/>
    <w:qFormat/>
    <w:rsid w:val="00922098"/>
    <w:rPr>
      <w:i/>
      <w:iCs/>
      <w:color w:val="0F4761" w:themeColor="accent1" w:themeShade="BF"/>
    </w:rPr>
  </w:style>
  <w:style w:type="paragraph" w:styleId="IntenseQuote">
    <w:name w:val="Intense Quote"/>
    <w:basedOn w:val="Normal"/>
    <w:next w:val="Normal"/>
    <w:link w:val="IntenseQuoteChar"/>
    <w:uiPriority w:val="30"/>
    <w:qFormat/>
    <w:rsid w:val="00922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098"/>
    <w:rPr>
      <w:i/>
      <w:iCs/>
      <w:color w:val="0F4761" w:themeColor="accent1" w:themeShade="BF"/>
    </w:rPr>
  </w:style>
  <w:style w:type="character" w:styleId="IntenseReference">
    <w:name w:val="Intense Reference"/>
    <w:basedOn w:val="DefaultParagraphFont"/>
    <w:uiPriority w:val="32"/>
    <w:qFormat/>
    <w:rsid w:val="00922098"/>
    <w:rPr>
      <w:b/>
      <w:bCs/>
      <w:smallCaps/>
      <w:color w:val="0F4761" w:themeColor="accent1" w:themeShade="BF"/>
      <w:spacing w:val="5"/>
    </w:rPr>
  </w:style>
  <w:style w:type="paragraph" w:styleId="Header">
    <w:name w:val="header"/>
    <w:basedOn w:val="Normal"/>
    <w:link w:val="HeaderChar"/>
    <w:uiPriority w:val="99"/>
    <w:unhideWhenUsed/>
    <w:rsid w:val="00922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098"/>
  </w:style>
  <w:style w:type="paragraph" w:styleId="Footer">
    <w:name w:val="footer"/>
    <w:basedOn w:val="Normal"/>
    <w:link w:val="FooterChar"/>
    <w:uiPriority w:val="99"/>
    <w:unhideWhenUsed/>
    <w:rsid w:val="00922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098"/>
  </w:style>
  <w:style w:type="character" w:styleId="Hyperlink">
    <w:name w:val="Hyperlink"/>
    <w:basedOn w:val="DefaultParagraphFont"/>
    <w:uiPriority w:val="99"/>
    <w:unhideWhenUsed/>
    <w:rsid w:val="00922098"/>
    <w:rPr>
      <w:color w:val="467886" w:themeColor="hyperlink"/>
      <w:u w:val="single"/>
    </w:rPr>
  </w:style>
  <w:style w:type="character" w:styleId="UnresolvedMention">
    <w:name w:val="Unresolved Mention"/>
    <w:basedOn w:val="DefaultParagraphFont"/>
    <w:uiPriority w:val="99"/>
    <w:semiHidden/>
    <w:unhideWhenUsed/>
    <w:rsid w:val="00922098"/>
    <w:rPr>
      <w:color w:val="605E5C"/>
      <w:shd w:val="clear" w:color="auto" w:fill="E1DFDD"/>
    </w:rPr>
  </w:style>
  <w:style w:type="character" w:customStyle="1" w:styleId="ListParagraphChar">
    <w:name w:val="List Paragraph Char"/>
    <w:link w:val="ListParagraph"/>
    <w:uiPriority w:val="34"/>
    <w:locked/>
    <w:rsid w:val="00922098"/>
  </w:style>
  <w:style w:type="paragraph" w:styleId="FootnoteText">
    <w:name w:val="footnote text"/>
    <w:basedOn w:val="Normal"/>
    <w:link w:val="FootnoteTextChar"/>
    <w:semiHidden/>
    <w:unhideWhenUsed/>
    <w:rsid w:val="00922098"/>
    <w:pPr>
      <w:spacing w:after="0" w:line="240" w:lineRule="auto"/>
    </w:pPr>
    <w:rPr>
      <w:rFonts w:eastAsia="Times New Roman" w:cs="Times New Roman"/>
      <w:kern w:val="0"/>
      <w:sz w:val="20"/>
      <w:szCs w:val="20"/>
      <w:lang w:eastAsia="en-AU"/>
      <w14:ligatures w14:val="none"/>
    </w:rPr>
  </w:style>
  <w:style w:type="character" w:customStyle="1" w:styleId="FootnoteTextChar">
    <w:name w:val="Footnote Text Char"/>
    <w:basedOn w:val="DefaultParagraphFont"/>
    <w:link w:val="FootnoteText"/>
    <w:semiHidden/>
    <w:rsid w:val="00922098"/>
    <w:rPr>
      <w:rFonts w:eastAsia="Times New Roman" w:cs="Times New Roman"/>
      <w:kern w:val="0"/>
      <w:sz w:val="20"/>
      <w:szCs w:val="20"/>
      <w:lang w:eastAsia="en-AU"/>
      <w14:ligatures w14:val="none"/>
    </w:rPr>
  </w:style>
  <w:style w:type="character" w:styleId="FootnoteReference">
    <w:name w:val="footnote reference"/>
    <w:basedOn w:val="DefaultParagraphFont"/>
    <w:semiHidden/>
    <w:unhideWhenUsed/>
    <w:rsid w:val="00922098"/>
    <w:rPr>
      <w:vertAlign w:val="superscript"/>
    </w:rPr>
  </w:style>
  <w:style w:type="table" w:styleId="GridTable6Colorful-Accent5">
    <w:name w:val="Grid Table 6 Colorful Accent 5"/>
    <w:basedOn w:val="TableNormal"/>
    <w:uiPriority w:val="51"/>
    <w:rsid w:val="00922098"/>
    <w:pPr>
      <w:spacing w:before="100" w:after="0" w:line="240" w:lineRule="auto"/>
    </w:pPr>
    <w:rPr>
      <w:rFonts w:eastAsiaTheme="minorEastAsia"/>
      <w:color w:val="77206D" w:themeColor="accent5" w:themeShade="BF"/>
      <w:kern w:val="0"/>
      <w:sz w:val="20"/>
      <w:szCs w:val="2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11">
    <w:name w:val="Grid Table 2 - Accent 11"/>
    <w:basedOn w:val="TableNormal"/>
    <w:next w:val="GridTable2-Accent1"/>
    <w:uiPriority w:val="47"/>
    <w:rsid w:val="0080045B"/>
    <w:pPr>
      <w:spacing w:before="100" w:after="0" w:line="240" w:lineRule="auto"/>
    </w:pPr>
    <w:rPr>
      <w:rFonts w:eastAsia="Times New Roman"/>
      <w:kern w:val="0"/>
      <w:sz w:val="20"/>
      <w:szCs w:val="20"/>
      <w14:ligatures w14:val="none"/>
    </w:rPr>
    <w:tblPr>
      <w:tblStyleRowBandSize w:val="1"/>
      <w:tblStyleColBandSize w:val="1"/>
      <w:tblBorders>
        <w:top w:val="single" w:sz="2" w:space="0" w:color="8BBAC3"/>
        <w:bottom w:val="single" w:sz="2" w:space="0" w:color="8BBAC3"/>
        <w:insideH w:val="single" w:sz="2" w:space="0" w:color="8BBAC3"/>
        <w:insideV w:val="single" w:sz="2" w:space="0" w:color="8BBAC3"/>
      </w:tblBorders>
    </w:tblPr>
    <w:tblStylePr w:type="firstRow">
      <w:rPr>
        <w:b/>
        <w:bCs/>
      </w:rPr>
      <w:tblPr/>
      <w:tcPr>
        <w:tcBorders>
          <w:top w:val="nil"/>
          <w:bottom w:val="single" w:sz="12" w:space="0" w:color="8BBAC3"/>
          <w:insideH w:val="nil"/>
          <w:insideV w:val="nil"/>
        </w:tcBorders>
        <w:shd w:val="clear" w:color="auto" w:fill="FFFFFF"/>
      </w:tcPr>
    </w:tblStylePr>
    <w:tblStylePr w:type="lastRow">
      <w:rPr>
        <w:b/>
        <w:bCs/>
      </w:rPr>
      <w:tblPr/>
      <w:tcPr>
        <w:tcBorders>
          <w:top w:val="double" w:sz="2" w:space="0" w:color="8BBAC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8E8EB"/>
      </w:tcPr>
    </w:tblStylePr>
    <w:tblStylePr w:type="band1Horz">
      <w:tblPr/>
      <w:tcPr>
        <w:shd w:val="clear" w:color="auto" w:fill="D8E8EB"/>
      </w:tcPr>
    </w:tblStylePr>
  </w:style>
  <w:style w:type="table" w:styleId="GridTable2-Accent1">
    <w:name w:val="Grid Table 2 Accent 1"/>
    <w:basedOn w:val="TableNormal"/>
    <w:uiPriority w:val="47"/>
    <w:rsid w:val="0080045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Heading">
    <w:name w:val="TOC Heading"/>
    <w:basedOn w:val="Heading1"/>
    <w:next w:val="Normal"/>
    <w:uiPriority w:val="39"/>
    <w:unhideWhenUsed/>
    <w:qFormat/>
    <w:rsid w:val="0055150A"/>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5150A"/>
    <w:pPr>
      <w:spacing w:after="100"/>
    </w:pPr>
  </w:style>
  <w:style w:type="paragraph" w:styleId="TOC3">
    <w:name w:val="toc 3"/>
    <w:basedOn w:val="Normal"/>
    <w:next w:val="Normal"/>
    <w:autoRedefine/>
    <w:uiPriority w:val="39"/>
    <w:unhideWhenUsed/>
    <w:rsid w:val="0055150A"/>
    <w:pPr>
      <w:spacing w:after="100"/>
      <w:ind w:left="440"/>
    </w:pPr>
  </w:style>
  <w:style w:type="table" w:styleId="TableGrid">
    <w:name w:val="Table Grid"/>
    <w:basedOn w:val="TableNormal"/>
    <w:uiPriority w:val="39"/>
    <w:rsid w:val="00F9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eelongaustralia.com.au/gphs"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eelongdataexchange.com.au/pages/survey-da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elongaustralia.com.au/gph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8C05C2A-C21B-4490-A276-3B6D82A592E8}">
  <ds:schemaRefs>
    <ds:schemaRef ds:uri="http://schemas.openxmlformats.org/officeDocument/2006/bibliography"/>
  </ds:schemaRefs>
</ds:datastoreItem>
</file>

<file path=customXml/itemProps2.xml><?xml version="1.0" encoding="utf-8"?>
<ds:datastoreItem xmlns:ds="http://schemas.openxmlformats.org/officeDocument/2006/customXml" ds:itemID="{F13482FE-BA0F-4A4F-802B-FB31EFFC1E9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5189</Words>
  <Characters>29579</Characters>
  <Application>Microsoft Office Word</Application>
  <DocSecurity>12</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Riley</dc:creator>
  <cp:keywords/>
  <dc:description/>
  <cp:lastModifiedBy>Kylie Riley</cp:lastModifiedBy>
  <cp:revision>2</cp:revision>
  <dcterms:created xsi:type="dcterms:W3CDTF">2025-04-16T00:26:00Z</dcterms:created>
  <dcterms:modified xsi:type="dcterms:W3CDTF">2025-04-16T00:26:00Z</dcterms:modified>
</cp:coreProperties>
</file>