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03" w:type="dxa"/>
        <w:tblInd w:w="3686" w:type="dxa"/>
        <w:tblLook w:val="04A0" w:firstRow="1" w:lastRow="0" w:firstColumn="1" w:lastColumn="0" w:noHBand="0" w:noVBand="1"/>
      </w:tblPr>
      <w:tblGrid>
        <w:gridCol w:w="5103"/>
      </w:tblGrid>
      <w:tr w:rsidR="002A7D53" w14:paraId="30162DF4" w14:textId="77777777" w:rsidTr="008451CA">
        <w:tc>
          <w:tcPr>
            <w:tcW w:w="5103" w:type="dxa"/>
          </w:tcPr>
          <w:p w14:paraId="590C2FD9" w14:textId="77777777" w:rsidR="002A7D53" w:rsidRDefault="002A7D53" w:rsidP="002A7D53">
            <w:pPr>
              <w:pStyle w:val="TitleLeadin"/>
            </w:pPr>
            <w:r>
              <w:t>The City Of</w:t>
            </w:r>
          </w:p>
          <w:p w14:paraId="43946C93" w14:textId="77777777" w:rsidR="002A7D53" w:rsidRDefault="002A7D53" w:rsidP="002A7D53">
            <w:pPr>
              <w:pStyle w:val="TitleLeadin"/>
            </w:pPr>
            <w:r>
              <w:t>Greater Geelong</w:t>
            </w:r>
          </w:p>
        </w:tc>
      </w:tr>
      <w:tr w:rsidR="002A7D53" w14:paraId="0160862D" w14:textId="77777777" w:rsidTr="00FD3222">
        <w:trPr>
          <w:trHeight w:val="4328"/>
        </w:trPr>
        <w:tc>
          <w:tcPr>
            <w:tcW w:w="5103" w:type="dxa"/>
          </w:tcPr>
          <w:p w14:paraId="5DEDA85B" w14:textId="77777777" w:rsidR="002A7D53" w:rsidRDefault="00F66651" w:rsidP="00FD3222">
            <w:pPr>
              <w:pStyle w:val="Title"/>
            </w:pPr>
            <w:r>
              <w:t>music</w:t>
            </w:r>
            <w:r w:rsidR="00FD3222">
              <w:t xml:space="preserve"> – </w:t>
            </w:r>
            <w:r>
              <w:t xml:space="preserve"> </w:t>
            </w:r>
            <w:r w:rsidR="00FD3222">
              <w:t xml:space="preserve">MOdelling approach and </w:t>
            </w:r>
            <w:r>
              <w:t>parameters</w:t>
            </w:r>
          </w:p>
        </w:tc>
      </w:tr>
      <w:tr w:rsidR="002A7D53" w14:paraId="4E86E314" w14:textId="77777777" w:rsidTr="008451CA">
        <w:trPr>
          <w:trHeight w:val="964"/>
        </w:trPr>
        <w:tc>
          <w:tcPr>
            <w:tcW w:w="5103" w:type="dxa"/>
          </w:tcPr>
          <w:p w14:paraId="6F081B07" w14:textId="423D12B9" w:rsidR="002A7D53" w:rsidRPr="00236CCB" w:rsidRDefault="00F66651" w:rsidP="00236CCB">
            <w:pPr>
              <w:pStyle w:val="Subtitle"/>
            </w:pPr>
            <w:r>
              <w:t>Design note 3</w:t>
            </w:r>
            <w:r w:rsidR="009F7837">
              <w:t xml:space="preserve"> (Nov 24)</w:t>
            </w:r>
          </w:p>
          <w:p w14:paraId="2501BB9B" w14:textId="77777777" w:rsidR="00236CCB" w:rsidRPr="00236CCB" w:rsidRDefault="00236CCB" w:rsidP="00236CCB"/>
        </w:tc>
      </w:tr>
    </w:tbl>
    <w:p w14:paraId="27C251D4" w14:textId="77777777" w:rsidR="002A7D53" w:rsidRDefault="002A7D53" w:rsidP="0032135D"/>
    <w:p w14:paraId="64CA0A81" w14:textId="77777777" w:rsidR="002A7D53" w:rsidRDefault="002A7D53" w:rsidP="002A7D53">
      <w:pPr>
        <w:sectPr w:rsidR="002A7D53" w:rsidSect="009B153B">
          <w:headerReference w:type="even" r:id="rId9"/>
          <w:headerReference w:type="default" r:id="rId10"/>
          <w:footerReference w:type="even" r:id="rId11"/>
          <w:footerReference w:type="default" r:id="rId12"/>
          <w:headerReference w:type="first" r:id="rId13"/>
          <w:footerReference w:type="first" r:id="rId14"/>
          <w:pgSz w:w="11907" w:h="16840" w:code="9"/>
          <w:pgMar w:top="1588" w:right="1588" w:bottom="1588" w:left="1588"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3601E48F" w14:textId="77777777" w:rsidR="004D51B9" w:rsidRDefault="004D51B9" w:rsidP="006843BB">
          <w:pPr>
            <w:pStyle w:val="TOCHeading"/>
            <w:framePr w:wrap="around"/>
            <w:ind w:left="709" w:right="681"/>
          </w:pPr>
          <w:r>
            <w:t>Contents</w:t>
          </w:r>
        </w:p>
        <w:p w14:paraId="01AA18CC" w14:textId="77777777" w:rsidR="00FD3222" w:rsidRDefault="00FD3222" w:rsidP="00462969">
          <w:pPr>
            <w:pStyle w:val="TOC1"/>
            <w:sectPr w:rsidR="00FD3222" w:rsidSect="009B153B">
              <w:pgSz w:w="11907" w:h="16840" w:code="9"/>
              <w:pgMar w:top="1588" w:right="1588" w:bottom="1588" w:left="1588" w:header="567" w:footer="340" w:gutter="0"/>
              <w:cols w:num="2" w:space="284"/>
              <w:docGrid w:linePitch="360"/>
            </w:sectPr>
          </w:pPr>
        </w:p>
        <w:p w14:paraId="2E942527" w14:textId="6FBFC720" w:rsidR="00530F4C" w:rsidRDefault="004D51B9">
          <w:pPr>
            <w:pStyle w:val="TOC1"/>
            <w:tabs>
              <w:tab w:val="left" w:pos="660"/>
            </w:tabs>
            <w:rPr>
              <w:rFonts w:eastAsiaTheme="minorEastAsia" w:cstheme="minorBidi"/>
              <w:b w:val="0"/>
              <w:color w:val="auto"/>
              <w:spacing w:val="0"/>
              <w:kern w:val="2"/>
              <w:sz w:val="22"/>
              <w:szCs w:val="22"/>
              <w14:ligatures w14:val="standardContextual"/>
            </w:rPr>
          </w:pPr>
          <w:r>
            <w:fldChar w:fldCharType="begin"/>
          </w:r>
          <w:r>
            <w:instrText xml:space="preserve"> TOC \o "1-3" \h \z \u </w:instrText>
          </w:r>
          <w:r>
            <w:fldChar w:fldCharType="separate"/>
          </w:r>
          <w:hyperlink w:anchor="_Toc184645951" w:history="1">
            <w:r w:rsidR="00530F4C" w:rsidRPr="00406629">
              <w:rPr>
                <w:rStyle w:val="Hyperlink"/>
              </w:rPr>
              <w:t>1.0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Introduction</w:t>
            </w:r>
            <w:r w:rsidR="00530F4C">
              <w:rPr>
                <w:webHidden/>
              </w:rPr>
              <w:tab/>
            </w:r>
            <w:r w:rsidR="00530F4C">
              <w:rPr>
                <w:webHidden/>
              </w:rPr>
              <w:fldChar w:fldCharType="begin"/>
            </w:r>
            <w:r w:rsidR="00530F4C">
              <w:rPr>
                <w:webHidden/>
              </w:rPr>
              <w:instrText xml:space="preserve"> PAGEREF _Toc184645951 \h </w:instrText>
            </w:r>
            <w:r w:rsidR="00530F4C">
              <w:rPr>
                <w:webHidden/>
              </w:rPr>
            </w:r>
            <w:r w:rsidR="00530F4C">
              <w:rPr>
                <w:webHidden/>
              </w:rPr>
              <w:fldChar w:fldCharType="separate"/>
            </w:r>
            <w:r w:rsidR="00E228A6">
              <w:rPr>
                <w:webHidden/>
              </w:rPr>
              <w:t>4</w:t>
            </w:r>
            <w:r w:rsidR="00530F4C">
              <w:rPr>
                <w:webHidden/>
              </w:rPr>
              <w:fldChar w:fldCharType="end"/>
            </w:r>
          </w:hyperlink>
        </w:p>
        <w:p w14:paraId="04620B09" w14:textId="06020F9B"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52" w:history="1">
            <w:r w:rsidR="00530F4C" w:rsidRPr="00406629">
              <w:rPr>
                <w:rStyle w:val="Hyperlink"/>
              </w:rPr>
              <w:t>1.1</w:t>
            </w:r>
            <w:r w:rsidR="00530F4C">
              <w:rPr>
                <w:rFonts w:eastAsiaTheme="minorEastAsia" w:cstheme="minorBidi"/>
                <w:spacing w:val="0"/>
                <w:kern w:val="2"/>
                <w:sz w:val="22"/>
                <w:szCs w:val="22"/>
                <w14:ligatures w14:val="standardContextual"/>
              </w:rPr>
              <w:tab/>
            </w:r>
            <w:r w:rsidR="00530F4C" w:rsidRPr="00406629">
              <w:rPr>
                <w:rStyle w:val="Hyperlink"/>
              </w:rPr>
              <w:t>Purpose of document</w:t>
            </w:r>
            <w:r w:rsidR="00530F4C">
              <w:rPr>
                <w:webHidden/>
              </w:rPr>
              <w:tab/>
            </w:r>
            <w:r w:rsidR="00530F4C">
              <w:rPr>
                <w:webHidden/>
              </w:rPr>
              <w:fldChar w:fldCharType="begin"/>
            </w:r>
            <w:r w:rsidR="00530F4C">
              <w:rPr>
                <w:webHidden/>
              </w:rPr>
              <w:instrText xml:space="preserve"> PAGEREF _Toc184645952 \h </w:instrText>
            </w:r>
            <w:r w:rsidR="00530F4C">
              <w:rPr>
                <w:webHidden/>
              </w:rPr>
            </w:r>
            <w:r w:rsidR="00530F4C">
              <w:rPr>
                <w:webHidden/>
              </w:rPr>
              <w:fldChar w:fldCharType="separate"/>
            </w:r>
            <w:r w:rsidR="00E228A6">
              <w:rPr>
                <w:webHidden/>
              </w:rPr>
              <w:t>4</w:t>
            </w:r>
            <w:r w:rsidR="00530F4C">
              <w:rPr>
                <w:webHidden/>
              </w:rPr>
              <w:fldChar w:fldCharType="end"/>
            </w:r>
          </w:hyperlink>
        </w:p>
        <w:p w14:paraId="404DFEC8" w14:textId="3C6CB5CB"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53" w:history="1">
            <w:r w:rsidR="00530F4C" w:rsidRPr="00406629">
              <w:rPr>
                <w:rStyle w:val="Hyperlink"/>
              </w:rPr>
              <w:t>2.0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Climate Data</w:t>
            </w:r>
            <w:r w:rsidR="00530F4C">
              <w:rPr>
                <w:webHidden/>
              </w:rPr>
              <w:tab/>
            </w:r>
            <w:r w:rsidR="00530F4C">
              <w:rPr>
                <w:webHidden/>
              </w:rPr>
              <w:fldChar w:fldCharType="begin"/>
            </w:r>
            <w:r w:rsidR="00530F4C">
              <w:rPr>
                <w:webHidden/>
              </w:rPr>
              <w:instrText xml:space="preserve"> PAGEREF _Toc184645953 \h </w:instrText>
            </w:r>
            <w:r w:rsidR="00530F4C">
              <w:rPr>
                <w:webHidden/>
              </w:rPr>
            </w:r>
            <w:r w:rsidR="00530F4C">
              <w:rPr>
                <w:webHidden/>
              </w:rPr>
              <w:fldChar w:fldCharType="separate"/>
            </w:r>
            <w:r w:rsidR="00E228A6">
              <w:rPr>
                <w:webHidden/>
              </w:rPr>
              <w:t>5</w:t>
            </w:r>
            <w:r w:rsidR="00530F4C">
              <w:rPr>
                <w:webHidden/>
              </w:rPr>
              <w:fldChar w:fldCharType="end"/>
            </w:r>
          </w:hyperlink>
        </w:p>
        <w:p w14:paraId="0B34266F" w14:textId="220951B4"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54" w:history="1">
            <w:r w:rsidR="00530F4C" w:rsidRPr="00406629">
              <w:rPr>
                <w:rStyle w:val="Hyperlink"/>
              </w:rPr>
              <w:t>3.0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General Guidelines for Treatment Nodes</w:t>
            </w:r>
            <w:r w:rsidR="00530F4C">
              <w:rPr>
                <w:webHidden/>
              </w:rPr>
              <w:tab/>
            </w:r>
            <w:r w:rsidR="00530F4C">
              <w:rPr>
                <w:webHidden/>
              </w:rPr>
              <w:fldChar w:fldCharType="begin"/>
            </w:r>
            <w:r w:rsidR="00530F4C">
              <w:rPr>
                <w:webHidden/>
              </w:rPr>
              <w:instrText xml:space="preserve"> PAGEREF _Toc184645954 \h </w:instrText>
            </w:r>
            <w:r w:rsidR="00530F4C">
              <w:rPr>
                <w:webHidden/>
              </w:rPr>
            </w:r>
            <w:r w:rsidR="00530F4C">
              <w:rPr>
                <w:webHidden/>
              </w:rPr>
              <w:fldChar w:fldCharType="separate"/>
            </w:r>
            <w:r w:rsidR="00E228A6">
              <w:rPr>
                <w:webHidden/>
              </w:rPr>
              <w:t>7</w:t>
            </w:r>
            <w:r w:rsidR="00530F4C">
              <w:rPr>
                <w:webHidden/>
              </w:rPr>
              <w:fldChar w:fldCharType="end"/>
            </w:r>
          </w:hyperlink>
        </w:p>
        <w:p w14:paraId="6AB339C0" w14:textId="685687A0"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55" w:history="1">
            <w:r w:rsidR="00530F4C" w:rsidRPr="00406629">
              <w:rPr>
                <w:rStyle w:val="Hyperlink"/>
              </w:rPr>
              <w:t>3.1</w:t>
            </w:r>
            <w:r w:rsidR="00530F4C">
              <w:rPr>
                <w:rFonts w:eastAsiaTheme="minorEastAsia" w:cstheme="minorBidi"/>
                <w:spacing w:val="0"/>
                <w:kern w:val="2"/>
                <w:sz w:val="22"/>
                <w:szCs w:val="22"/>
                <w14:ligatures w14:val="standardContextual"/>
              </w:rPr>
              <w:tab/>
            </w:r>
            <w:r w:rsidR="00530F4C" w:rsidRPr="00406629">
              <w:rPr>
                <w:rStyle w:val="Hyperlink"/>
              </w:rPr>
              <w:t>High flow bypass and overflow</w:t>
            </w:r>
            <w:r w:rsidR="00530F4C">
              <w:rPr>
                <w:webHidden/>
              </w:rPr>
              <w:tab/>
            </w:r>
            <w:r w:rsidR="00530F4C">
              <w:rPr>
                <w:webHidden/>
              </w:rPr>
              <w:fldChar w:fldCharType="begin"/>
            </w:r>
            <w:r w:rsidR="00530F4C">
              <w:rPr>
                <w:webHidden/>
              </w:rPr>
              <w:instrText xml:space="preserve"> PAGEREF _Toc184645955 \h </w:instrText>
            </w:r>
            <w:r w:rsidR="00530F4C">
              <w:rPr>
                <w:webHidden/>
              </w:rPr>
            </w:r>
            <w:r w:rsidR="00530F4C">
              <w:rPr>
                <w:webHidden/>
              </w:rPr>
              <w:fldChar w:fldCharType="separate"/>
            </w:r>
            <w:r w:rsidR="00E228A6">
              <w:rPr>
                <w:webHidden/>
              </w:rPr>
              <w:t>7</w:t>
            </w:r>
            <w:r w:rsidR="00530F4C">
              <w:rPr>
                <w:webHidden/>
              </w:rPr>
              <w:fldChar w:fldCharType="end"/>
            </w:r>
          </w:hyperlink>
        </w:p>
        <w:p w14:paraId="78BB7B40" w14:textId="7773A4E6"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56" w:history="1">
            <w:r w:rsidR="00530F4C" w:rsidRPr="00406629">
              <w:rPr>
                <w:rStyle w:val="Hyperlink"/>
              </w:rPr>
              <w:t>4.0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Proprietary Stormwater Treatment Devices</w:t>
            </w:r>
            <w:r w:rsidR="00530F4C">
              <w:rPr>
                <w:webHidden/>
              </w:rPr>
              <w:tab/>
            </w:r>
            <w:r w:rsidR="00530F4C">
              <w:rPr>
                <w:webHidden/>
              </w:rPr>
              <w:fldChar w:fldCharType="begin"/>
            </w:r>
            <w:r w:rsidR="00530F4C">
              <w:rPr>
                <w:webHidden/>
              </w:rPr>
              <w:instrText xml:space="preserve"> PAGEREF _Toc184645956 \h </w:instrText>
            </w:r>
            <w:r w:rsidR="00530F4C">
              <w:rPr>
                <w:webHidden/>
              </w:rPr>
            </w:r>
            <w:r w:rsidR="00530F4C">
              <w:rPr>
                <w:webHidden/>
              </w:rPr>
              <w:fldChar w:fldCharType="separate"/>
            </w:r>
            <w:r w:rsidR="00E228A6">
              <w:rPr>
                <w:webHidden/>
              </w:rPr>
              <w:t>8</w:t>
            </w:r>
            <w:r w:rsidR="00530F4C">
              <w:rPr>
                <w:webHidden/>
              </w:rPr>
              <w:fldChar w:fldCharType="end"/>
            </w:r>
          </w:hyperlink>
        </w:p>
        <w:p w14:paraId="4B7433CB" w14:textId="08E711C9"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57" w:history="1">
            <w:r w:rsidR="00530F4C" w:rsidRPr="00406629">
              <w:rPr>
                <w:rStyle w:val="Hyperlink"/>
              </w:rPr>
              <w:t>5.0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Wetlands</w:t>
            </w:r>
            <w:r w:rsidR="00530F4C">
              <w:rPr>
                <w:webHidden/>
              </w:rPr>
              <w:tab/>
            </w:r>
            <w:r w:rsidR="00530F4C">
              <w:rPr>
                <w:webHidden/>
              </w:rPr>
              <w:fldChar w:fldCharType="begin"/>
            </w:r>
            <w:r w:rsidR="00530F4C">
              <w:rPr>
                <w:webHidden/>
              </w:rPr>
              <w:instrText xml:space="preserve"> PAGEREF _Toc184645957 \h </w:instrText>
            </w:r>
            <w:r w:rsidR="00530F4C">
              <w:rPr>
                <w:webHidden/>
              </w:rPr>
            </w:r>
            <w:r w:rsidR="00530F4C">
              <w:rPr>
                <w:webHidden/>
              </w:rPr>
              <w:fldChar w:fldCharType="separate"/>
            </w:r>
            <w:r w:rsidR="00E228A6">
              <w:rPr>
                <w:webHidden/>
              </w:rPr>
              <w:t>9</w:t>
            </w:r>
            <w:r w:rsidR="00530F4C">
              <w:rPr>
                <w:webHidden/>
              </w:rPr>
              <w:fldChar w:fldCharType="end"/>
            </w:r>
          </w:hyperlink>
        </w:p>
        <w:p w14:paraId="43F3E22A" w14:textId="17EAA749"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58" w:history="1">
            <w:r w:rsidR="00530F4C" w:rsidRPr="00406629">
              <w:rPr>
                <w:rStyle w:val="Hyperlink"/>
              </w:rPr>
              <w:t>5.1</w:t>
            </w:r>
            <w:r w:rsidR="00530F4C">
              <w:rPr>
                <w:rFonts w:eastAsiaTheme="minorEastAsia" w:cstheme="minorBidi"/>
                <w:spacing w:val="0"/>
                <w:kern w:val="2"/>
                <w:sz w:val="22"/>
                <w:szCs w:val="22"/>
                <w14:ligatures w14:val="standardContextual"/>
              </w:rPr>
              <w:tab/>
            </w:r>
            <w:r w:rsidR="00530F4C" w:rsidRPr="00406629">
              <w:rPr>
                <w:rStyle w:val="Hyperlink"/>
              </w:rPr>
              <w:t>Wetland inundation frequency analysis</w:t>
            </w:r>
            <w:r w:rsidR="00530F4C">
              <w:rPr>
                <w:webHidden/>
              </w:rPr>
              <w:tab/>
            </w:r>
            <w:r w:rsidR="00530F4C">
              <w:rPr>
                <w:webHidden/>
              </w:rPr>
              <w:fldChar w:fldCharType="begin"/>
            </w:r>
            <w:r w:rsidR="00530F4C">
              <w:rPr>
                <w:webHidden/>
              </w:rPr>
              <w:instrText xml:space="preserve"> PAGEREF _Toc184645958 \h </w:instrText>
            </w:r>
            <w:r w:rsidR="00530F4C">
              <w:rPr>
                <w:webHidden/>
              </w:rPr>
            </w:r>
            <w:r w:rsidR="00530F4C">
              <w:rPr>
                <w:webHidden/>
              </w:rPr>
              <w:fldChar w:fldCharType="separate"/>
            </w:r>
            <w:r w:rsidR="00E228A6">
              <w:rPr>
                <w:webHidden/>
              </w:rPr>
              <w:t>9</w:t>
            </w:r>
            <w:r w:rsidR="00530F4C">
              <w:rPr>
                <w:webHidden/>
              </w:rPr>
              <w:fldChar w:fldCharType="end"/>
            </w:r>
          </w:hyperlink>
        </w:p>
        <w:p w14:paraId="7E3842EA" w14:textId="167A10A9"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59" w:history="1">
            <w:r w:rsidR="00530F4C" w:rsidRPr="00406629">
              <w:rPr>
                <w:rStyle w:val="Hyperlink"/>
              </w:rPr>
              <w:t>5.2</w:t>
            </w:r>
            <w:r w:rsidR="00530F4C">
              <w:rPr>
                <w:rFonts w:eastAsiaTheme="minorEastAsia" w:cstheme="minorBidi"/>
                <w:spacing w:val="0"/>
                <w:kern w:val="2"/>
                <w:sz w:val="22"/>
                <w:szCs w:val="22"/>
                <w14:ligatures w14:val="standardContextual"/>
              </w:rPr>
              <w:tab/>
            </w:r>
            <w:r w:rsidR="00530F4C" w:rsidRPr="00406629">
              <w:rPr>
                <w:rStyle w:val="Hyperlink"/>
              </w:rPr>
              <w:t>Stage-storage discharge relationships</w:t>
            </w:r>
            <w:r w:rsidR="00530F4C">
              <w:rPr>
                <w:webHidden/>
              </w:rPr>
              <w:tab/>
            </w:r>
            <w:r w:rsidR="00530F4C">
              <w:rPr>
                <w:webHidden/>
              </w:rPr>
              <w:fldChar w:fldCharType="begin"/>
            </w:r>
            <w:r w:rsidR="00530F4C">
              <w:rPr>
                <w:webHidden/>
              </w:rPr>
              <w:instrText xml:space="preserve"> PAGEREF _Toc184645959 \h </w:instrText>
            </w:r>
            <w:r w:rsidR="00530F4C">
              <w:rPr>
                <w:webHidden/>
              </w:rPr>
            </w:r>
            <w:r w:rsidR="00530F4C">
              <w:rPr>
                <w:webHidden/>
              </w:rPr>
              <w:fldChar w:fldCharType="separate"/>
            </w:r>
            <w:r w:rsidR="00E228A6">
              <w:rPr>
                <w:webHidden/>
              </w:rPr>
              <w:t>13</w:t>
            </w:r>
            <w:r w:rsidR="00530F4C">
              <w:rPr>
                <w:webHidden/>
              </w:rPr>
              <w:fldChar w:fldCharType="end"/>
            </w:r>
          </w:hyperlink>
        </w:p>
        <w:p w14:paraId="4F6C0D28" w14:textId="50ED9628"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60" w:history="1">
            <w:r w:rsidR="00530F4C" w:rsidRPr="00406629">
              <w:rPr>
                <w:rStyle w:val="Hyperlink"/>
              </w:rPr>
              <w:t>6.0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Bioretention</w:t>
            </w:r>
            <w:r w:rsidR="00530F4C">
              <w:rPr>
                <w:webHidden/>
              </w:rPr>
              <w:tab/>
            </w:r>
            <w:r w:rsidR="00530F4C">
              <w:rPr>
                <w:webHidden/>
              </w:rPr>
              <w:fldChar w:fldCharType="begin"/>
            </w:r>
            <w:r w:rsidR="00530F4C">
              <w:rPr>
                <w:webHidden/>
              </w:rPr>
              <w:instrText xml:space="preserve"> PAGEREF _Toc184645960 \h </w:instrText>
            </w:r>
            <w:r w:rsidR="00530F4C">
              <w:rPr>
                <w:webHidden/>
              </w:rPr>
            </w:r>
            <w:r w:rsidR="00530F4C">
              <w:rPr>
                <w:webHidden/>
              </w:rPr>
              <w:fldChar w:fldCharType="separate"/>
            </w:r>
            <w:r w:rsidR="00E228A6">
              <w:rPr>
                <w:webHidden/>
              </w:rPr>
              <w:t>14</w:t>
            </w:r>
            <w:r w:rsidR="00530F4C">
              <w:rPr>
                <w:webHidden/>
              </w:rPr>
              <w:fldChar w:fldCharType="end"/>
            </w:r>
          </w:hyperlink>
        </w:p>
        <w:p w14:paraId="7F41A4FF" w14:textId="1A9C9D0E"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61" w:history="1">
            <w:r w:rsidR="00530F4C" w:rsidRPr="00406629">
              <w:rPr>
                <w:rStyle w:val="Hyperlink"/>
              </w:rPr>
              <w:t>6.1</w:t>
            </w:r>
            <w:r w:rsidR="00530F4C">
              <w:rPr>
                <w:rFonts w:eastAsiaTheme="minorEastAsia" w:cstheme="minorBidi"/>
                <w:spacing w:val="0"/>
                <w:kern w:val="2"/>
                <w:sz w:val="22"/>
                <w:szCs w:val="22"/>
                <w14:ligatures w14:val="standardContextual"/>
              </w:rPr>
              <w:tab/>
            </w:r>
            <w:r w:rsidR="00530F4C" w:rsidRPr="00406629">
              <w:rPr>
                <w:rStyle w:val="Hyperlink"/>
              </w:rPr>
              <w:t>Asset dimensions and large bioretention assets</w:t>
            </w:r>
            <w:r w:rsidR="00530F4C">
              <w:rPr>
                <w:webHidden/>
              </w:rPr>
              <w:tab/>
            </w:r>
            <w:r w:rsidR="00530F4C">
              <w:rPr>
                <w:webHidden/>
              </w:rPr>
              <w:fldChar w:fldCharType="begin"/>
            </w:r>
            <w:r w:rsidR="00530F4C">
              <w:rPr>
                <w:webHidden/>
              </w:rPr>
              <w:instrText xml:space="preserve"> PAGEREF _Toc184645961 \h </w:instrText>
            </w:r>
            <w:r w:rsidR="00530F4C">
              <w:rPr>
                <w:webHidden/>
              </w:rPr>
            </w:r>
            <w:r w:rsidR="00530F4C">
              <w:rPr>
                <w:webHidden/>
              </w:rPr>
              <w:fldChar w:fldCharType="separate"/>
            </w:r>
            <w:r w:rsidR="00E228A6">
              <w:rPr>
                <w:webHidden/>
              </w:rPr>
              <w:t>15</w:t>
            </w:r>
            <w:r w:rsidR="00530F4C">
              <w:rPr>
                <w:webHidden/>
              </w:rPr>
              <w:fldChar w:fldCharType="end"/>
            </w:r>
          </w:hyperlink>
        </w:p>
        <w:p w14:paraId="1463D94E" w14:textId="4C14CB2E"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62" w:history="1">
            <w:r w:rsidR="00530F4C" w:rsidRPr="00406629">
              <w:rPr>
                <w:rStyle w:val="Hyperlink"/>
              </w:rPr>
              <w:t>6.2</w:t>
            </w:r>
            <w:r w:rsidR="00530F4C">
              <w:rPr>
                <w:rFonts w:eastAsiaTheme="minorEastAsia" w:cstheme="minorBidi"/>
                <w:spacing w:val="0"/>
                <w:kern w:val="2"/>
                <w:sz w:val="22"/>
                <w:szCs w:val="22"/>
                <w14:ligatures w14:val="standardContextual"/>
              </w:rPr>
              <w:tab/>
            </w:r>
            <w:r w:rsidR="00530F4C" w:rsidRPr="00406629">
              <w:rPr>
                <w:rStyle w:val="Hyperlink"/>
              </w:rPr>
              <w:t>Design to manage sediment loads</w:t>
            </w:r>
            <w:r w:rsidR="00530F4C">
              <w:rPr>
                <w:webHidden/>
              </w:rPr>
              <w:tab/>
            </w:r>
            <w:r w:rsidR="00530F4C">
              <w:rPr>
                <w:webHidden/>
              </w:rPr>
              <w:fldChar w:fldCharType="begin"/>
            </w:r>
            <w:r w:rsidR="00530F4C">
              <w:rPr>
                <w:webHidden/>
              </w:rPr>
              <w:instrText xml:space="preserve"> PAGEREF _Toc184645962 \h </w:instrText>
            </w:r>
            <w:r w:rsidR="00530F4C">
              <w:rPr>
                <w:webHidden/>
              </w:rPr>
            </w:r>
            <w:r w:rsidR="00530F4C">
              <w:rPr>
                <w:webHidden/>
              </w:rPr>
              <w:fldChar w:fldCharType="separate"/>
            </w:r>
            <w:r w:rsidR="00E228A6">
              <w:rPr>
                <w:webHidden/>
              </w:rPr>
              <w:t>16</w:t>
            </w:r>
            <w:r w:rsidR="00530F4C">
              <w:rPr>
                <w:webHidden/>
              </w:rPr>
              <w:fldChar w:fldCharType="end"/>
            </w:r>
          </w:hyperlink>
        </w:p>
        <w:p w14:paraId="559432D1" w14:textId="6A164301"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63" w:history="1">
            <w:r w:rsidR="00530F4C" w:rsidRPr="00406629">
              <w:rPr>
                <w:rStyle w:val="Hyperlink"/>
              </w:rPr>
              <w:t>6.3</w:t>
            </w:r>
            <w:r w:rsidR="00530F4C">
              <w:rPr>
                <w:rFonts w:eastAsiaTheme="minorEastAsia" w:cstheme="minorBidi"/>
                <w:spacing w:val="0"/>
                <w:kern w:val="2"/>
                <w:sz w:val="22"/>
                <w:szCs w:val="22"/>
                <w14:ligatures w14:val="standardContextual"/>
              </w:rPr>
              <w:tab/>
            </w:r>
            <w:r w:rsidR="00530F4C" w:rsidRPr="00406629">
              <w:rPr>
                <w:rStyle w:val="Hyperlink"/>
              </w:rPr>
              <w:t>Soil moisture conditions</w:t>
            </w:r>
            <w:r w:rsidR="00530F4C">
              <w:rPr>
                <w:webHidden/>
              </w:rPr>
              <w:tab/>
            </w:r>
            <w:r w:rsidR="00530F4C">
              <w:rPr>
                <w:webHidden/>
              </w:rPr>
              <w:fldChar w:fldCharType="begin"/>
            </w:r>
            <w:r w:rsidR="00530F4C">
              <w:rPr>
                <w:webHidden/>
              </w:rPr>
              <w:instrText xml:space="preserve"> PAGEREF _Toc184645963 \h </w:instrText>
            </w:r>
            <w:r w:rsidR="00530F4C">
              <w:rPr>
                <w:webHidden/>
              </w:rPr>
            </w:r>
            <w:r w:rsidR="00530F4C">
              <w:rPr>
                <w:webHidden/>
              </w:rPr>
              <w:fldChar w:fldCharType="separate"/>
            </w:r>
            <w:r w:rsidR="00E228A6">
              <w:rPr>
                <w:webHidden/>
              </w:rPr>
              <w:t>17</w:t>
            </w:r>
            <w:r w:rsidR="00530F4C">
              <w:rPr>
                <w:webHidden/>
              </w:rPr>
              <w:fldChar w:fldCharType="end"/>
            </w:r>
          </w:hyperlink>
        </w:p>
        <w:p w14:paraId="316E5F95" w14:textId="19E69C34"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64" w:history="1">
            <w:r w:rsidR="00530F4C" w:rsidRPr="00406629">
              <w:rPr>
                <w:rStyle w:val="Hyperlink"/>
              </w:rPr>
              <w:t>6.4</w:t>
            </w:r>
            <w:r w:rsidR="00530F4C">
              <w:rPr>
                <w:rFonts w:eastAsiaTheme="minorEastAsia" w:cstheme="minorBidi"/>
                <w:spacing w:val="0"/>
                <w:kern w:val="2"/>
                <w:sz w:val="22"/>
                <w:szCs w:val="22"/>
                <w14:ligatures w14:val="standardContextual"/>
              </w:rPr>
              <w:tab/>
            </w:r>
            <w:r w:rsidR="00530F4C" w:rsidRPr="00406629">
              <w:rPr>
                <w:rStyle w:val="Hyperlink"/>
              </w:rPr>
              <w:t>Infiltration and proximity to infrastructure</w:t>
            </w:r>
            <w:r w:rsidR="00530F4C">
              <w:rPr>
                <w:webHidden/>
              </w:rPr>
              <w:tab/>
            </w:r>
            <w:r w:rsidR="00530F4C">
              <w:rPr>
                <w:webHidden/>
              </w:rPr>
              <w:fldChar w:fldCharType="begin"/>
            </w:r>
            <w:r w:rsidR="00530F4C">
              <w:rPr>
                <w:webHidden/>
              </w:rPr>
              <w:instrText xml:space="preserve"> PAGEREF _Toc184645964 \h </w:instrText>
            </w:r>
            <w:r w:rsidR="00530F4C">
              <w:rPr>
                <w:webHidden/>
              </w:rPr>
            </w:r>
            <w:r w:rsidR="00530F4C">
              <w:rPr>
                <w:webHidden/>
              </w:rPr>
              <w:fldChar w:fldCharType="separate"/>
            </w:r>
            <w:r w:rsidR="00E228A6">
              <w:rPr>
                <w:webHidden/>
              </w:rPr>
              <w:t>18</w:t>
            </w:r>
            <w:r w:rsidR="00530F4C">
              <w:rPr>
                <w:webHidden/>
              </w:rPr>
              <w:fldChar w:fldCharType="end"/>
            </w:r>
          </w:hyperlink>
        </w:p>
        <w:p w14:paraId="7255A0EE" w14:textId="7B6B3C8E"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65" w:history="1">
            <w:r w:rsidR="00530F4C" w:rsidRPr="00406629">
              <w:rPr>
                <w:rStyle w:val="Hyperlink"/>
              </w:rPr>
              <w:t>6.5</w:t>
            </w:r>
            <w:r w:rsidR="00530F4C">
              <w:rPr>
                <w:rFonts w:eastAsiaTheme="minorEastAsia" w:cstheme="minorBidi"/>
                <w:spacing w:val="0"/>
                <w:kern w:val="2"/>
                <w:sz w:val="22"/>
                <w:szCs w:val="22"/>
                <w14:ligatures w14:val="standardContextual"/>
              </w:rPr>
              <w:tab/>
            </w:r>
            <w:r w:rsidR="00530F4C" w:rsidRPr="00406629">
              <w:rPr>
                <w:rStyle w:val="Hyperlink"/>
              </w:rPr>
              <w:t>Construction phase</w:t>
            </w:r>
            <w:r w:rsidR="00530F4C">
              <w:rPr>
                <w:webHidden/>
              </w:rPr>
              <w:tab/>
            </w:r>
            <w:r w:rsidR="00530F4C">
              <w:rPr>
                <w:webHidden/>
              </w:rPr>
              <w:fldChar w:fldCharType="begin"/>
            </w:r>
            <w:r w:rsidR="00530F4C">
              <w:rPr>
                <w:webHidden/>
              </w:rPr>
              <w:instrText xml:space="preserve"> PAGEREF _Toc184645965 \h </w:instrText>
            </w:r>
            <w:r w:rsidR="00530F4C">
              <w:rPr>
                <w:webHidden/>
              </w:rPr>
            </w:r>
            <w:r w:rsidR="00530F4C">
              <w:rPr>
                <w:webHidden/>
              </w:rPr>
              <w:fldChar w:fldCharType="separate"/>
            </w:r>
            <w:r w:rsidR="00E228A6">
              <w:rPr>
                <w:webHidden/>
              </w:rPr>
              <w:t>19</w:t>
            </w:r>
            <w:r w:rsidR="00530F4C">
              <w:rPr>
                <w:webHidden/>
              </w:rPr>
              <w:fldChar w:fldCharType="end"/>
            </w:r>
          </w:hyperlink>
        </w:p>
        <w:p w14:paraId="5A0BC771" w14:textId="6026267A"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66" w:history="1">
            <w:r w:rsidR="00530F4C" w:rsidRPr="00406629">
              <w:rPr>
                <w:rStyle w:val="Hyperlink"/>
              </w:rPr>
              <w:t>7.0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Stormwater Harvesting and Reuse</w:t>
            </w:r>
            <w:r w:rsidR="00530F4C">
              <w:rPr>
                <w:webHidden/>
              </w:rPr>
              <w:tab/>
            </w:r>
            <w:r w:rsidR="00530F4C">
              <w:rPr>
                <w:webHidden/>
              </w:rPr>
              <w:fldChar w:fldCharType="begin"/>
            </w:r>
            <w:r w:rsidR="00530F4C">
              <w:rPr>
                <w:webHidden/>
              </w:rPr>
              <w:instrText xml:space="preserve"> PAGEREF _Toc184645966 \h </w:instrText>
            </w:r>
            <w:r w:rsidR="00530F4C">
              <w:rPr>
                <w:webHidden/>
              </w:rPr>
            </w:r>
            <w:r w:rsidR="00530F4C">
              <w:rPr>
                <w:webHidden/>
              </w:rPr>
              <w:fldChar w:fldCharType="separate"/>
            </w:r>
            <w:r w:rsidR="00E228A6">
              <w:rPr>
                <w:webHidden/>
              </w:rPr>
              <w:t>20</w:t>
            </w:r>
            <w:r w:rsidR="00530F4C">
              <w:rPr>
                <w:webHidden/>
              </w:rPr>
              <w:fldChar w:fldCharType="end"/>
            </w:r>
          </w:hyperlink>
        </w:p>
        <w:p w14:paraId="10EF12FE" w14:textId="1A61192D"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67" w:history="1">
            <w:r w:rsidR="00530F4C" w:rsidRPr="00406629">
              <w:rPr>
                <w:rStyle w:val="Hyperlink"/>
              </w:rPr>
              <w:t>7.1</w:t>
            </w:r>
            <w:r w:rsidR="00530F4C">
              <w:rPr>
                <w:rFonts w:eastAsiaTheme="minorEastAsia" w:cstheme="minorBidi"/>
                <w:spacing w:val="0"/>
                <w:kern w:val="2"/>
                <w:sz w:val="22"/>
                <w:szCs w:val="22"/>
                <w14:ligatures w14:val="standardContextual"/>
              </w:rPr>
              <w:tab/>
            </w:r>
            <w:r w:rsidR="00530F4C" w:rsidRPr="00406629">
              <w:rPr>
                <w:rStyle w:val="Hyperlink"/>
              </w:rPr>
              <w:t>Basic design parameters for stormwater reuse systems</w:t>
            </w:r>
            <w:r w:rsidR="00530F4C">
              <w:rPr>
                <w:webHidden/>
              </w:rPr>
              <w:tab/>
            </w:r>
            <w:r w:rsidR="00530F4C">
              <w:rPr>
                <w:webHidden/>
              </w:rPr>
              <w:fldChar w:fldCharType="begin"/>
            </w:r>
            <w:r w:rsidR="00530F4C">
              <w:rPr>
                <w:webHidden/>
              </w:rPr>
              <w:instrText xml:space="preserve"> PAGEREF _Toc184645967 \h </w:instrText>
            </w:r>
            <w:r w:rsidR="00530F4C">
              <w:rPr>
                <w:webHidden/>
              </w:rPr>
            </w:r>
            <w:r w:rsidR="00530F4C">
              <w:rPr>
                <w:webHidden/>
              </w:rPr>
              <w:fldChar w:fldCharType="separate"/>
            </w:r>
            <w:r w:rsidR="00E228A6">
              <w:rPr>
                <w:webHidden/>
              </w:rPr>
              <w:t>20</w:t>
            </w:r>
            <w:r w:rsidR="00530F4C">
              <w:rPr>
                <w:webHidden/>
              </w:rPr>
              <w:fldChar w:fldCharType="end"/>
            </w:r>
          </w:hyperlink>
        </w:p>
        <w:p w14:paraId="3EB8650D" w14:textId="6254EB92" w:rsidR="00530F4C" w:rsidRDefault="00000000">
          <w:pPr>
            <w:pStyle w:val="TOC3"/>
            <w:tabs>
              <w:tab w:val="left" w:pos="1100"/>
            </w:tabs>
            <w:rPr>
              <w:rFonts w:eastAsiaTheme="minorEastAsia" w:cstheme="minorBidi"/>
              <w:spacing w:val="0"/>
              <w:kern w:val="2"/>
              <w:sz w:val="22"/>
              <w:szCs w:val="22"/>
              <w14:ligatures w14:val="standardContextual"/>
            </w:rPr>
          </w:pPr>
          <w:hyperlink w:anchor="_Toc184645968" w:history="1">
            <w:r w:rsidR="00530F4C" w:rsidRPr="00406629">
              <w:rPr>
                <w:rStyle w:val="Hyperlink"/>
              </w:rPr>
              <w:t>7.1.1</w:t>
            </w:r>
            <w:r w:rsidR="00530F4C">
              <w:rPr>
                <w:rFonts w:eastAsiaTheme="minorEastAsia" w:cstheme="minorBidi"/>
                <w:spacing w:val="0"/>
                <w:kern w:val="2"/>
                <w:sz w:val="22"/>
                <w:szCs w:val="22"/>
                <w14:ligatures w14:val="standardContextual"/>
              </w:rPr>
              <w:tab/>
            </w:r>
            <w:r w:rsidR="00530F4C" w:rsidRPr="00406629">
              <w:rPr>
                <w:rStyle w:val="Hyperlink"/>
              </w:rPr>
              <w:t>Total and directly connected impervious</w:t>
            </w:r>
            <w:r w:rsidR="00530F4C">
              <w:rPr>
                <w:webHidden/>
              </w:rPr>
              <w:tab/>
            </w:r>
            <w:r w:rsidR="00530F4C">
              <w:rPr>
                <w:webHidden/>
              </w:rPr>
              <w:fldChar w:fldCharType="begin"/>
            </w:r>
            <w:r w:rsidR="00530F4C">
              <w:rPr>
                <w:webHidden/>
              </w:rPr>
              <w:instrText xml:space="preserve"> PAGEREF _Toc184645968 \h </w:instrText>
            </w:r>
            <w:r w:rsidR="00530F4C">
              <w:rPr>
                <w:webHidden/>
              </w:rPr>
            </w:r>
            <w:r w:rsidR="00530F4C">
              <w:rPr>
                <w:webHidden/>
              </w:rPr>
              <w:fldChar w:fldCharType="separate"/>
            </w:r>
            <w:r w:rsidR="00E228A6">
              <w:rPr>
                <w:webHidden/>
              </w:rPr>
              <w:t>21</w:t>
            </w:r>
            <w:r w:rsidR="00530F4C">
              <w:rPr>
                <w:webHidden/>
              </w:rPr>
              <w:fldChar w:fldCharType="end"/>
            </w:r>
          </w:hyperlink>
        </w:p>
        <w:p w14:paraId="43098834" w14:textId="5BF2231F"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69" w:history="1">
            <w:r w:rsidR="00530F4C" w:rsidRPr="00406629">
              <w:rPr>
                <w:rStyle w:val="Hyperlink"/>
              </w:rPr>
              <w:t>8.0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MUSIC Auditor and Wetland Analysis Tool</w:t>
            </w:r>
            <w:r w:rsidR="00530F4C">
              <w:rPr>
                <w:webHidden/>
              </w:rPr>
              <w:tab/>
            </w:r>
            <w:r w:rsidR="00530F4C">
              <w:rPr>
                <w:webHidden/>
              </w:rPr>
              <w:fldChar w:fldCharType="begin"/>
            </w:r>
            <w:r w:rsidR="00530F4C">
              <w:rPr>
                <w:webHidden/>
              </w:rPr>
              <w:instrText xml:space="preserve"> PAGEREF _Toc184645969 \h </w:instrText>
            </w:r>
            <w:r w:rsidR="00530F4C">
              <w:rPr>
                <w:webHidden/>
              </w:rPr>
            </w:r>
            <w:r w:rsidR="00530F4C">
              <w:rPr>
                <w:webHidden/>
              </w:rPr>
              <w:fldChar w:fldCharType="separate"/>
            </w:r>
            <w:r w:rsidR="00E228A6">
              <w:rPr>
                <w:webHidden/>
              </w:rPr>
              <w:t>23</w:t>
            </w:r>
            <w:r w:rsidR="00530F4C">
              <w:rPr>
                <w:webHidden/>
              </w:rPr>
              <w:fldChar w:fldCharType="end"/>
            </w:r>
          </w:hyperlink>
        </w:p>
        <w:p w14:paraId="5FBAFC9E" w14:textId="1D177FA7" w:rsidR="00530F4C" w:rsidRDefault="00000000">
          <w:pPr>
            <w:pStyle w:val="TOC1"/>
            <w:tabs>
              <w:tab w:val="left" w:pos="660"/>
            </w:tabs>
            <w:rPr>
              <w:rFonts w:eastAsiaTheme="minorEastAsia" w:cstheme="minorBidi"/>
              <w:b w:val="0"/>
              <w:color w:val="auto"/>
              <w:spacing w:val="0"/>
              <w:kern w:val="2"/>
              <w:sz w:val="22"/>
              <w:szCs w:val="22"/>
              <w14:ligatures w14:val="standardContextual"/>
            </w:rPr>
          </w:pPr>
          <w:hyperlink w:anchor="_Toc184645970" w:history="1">
            <w:r w:rsidR="00530F4C" w:rsidRPr="00406629">
              <w:rPr>
                <w:rStyle w:val="Hyperlink"/>
              </w:rPr>
              <w:t>9.0</w:t>
            </w:r>
            <w:r w:rsidR="00530F4C">
              <w:rPr>
                <w:rFonts w:eastAsiaTheme="minorEastAsia" w:cstheme="minorBidi"/>
                <w:b w:val="0"/>
                <w:color w:val="auto"/>
                <w:spacing w:val="0"/>
                <w:kern w:val="2"/>
                <w:sz w:val="22"/>
                <w:szCs w:val="22"/>
                <w14:ligatures w14:val="standardContextual"/>
              </w:rPr>
              <w:tab/>
            </w:r>
            <w:r w:rsidR="00530F4C" w:rsidRPr="00406629">
              <w:rPr>
                <w:rStyle w:val="Hyperlink"/>
              </w:rPr>
              <w:t>Submission Requirements for MUSIC Modelling</w:t>
            </w:r>
            <w:r w:rsidR="00530F4C">
              <w:rPr>
                <w:webHidden/>
              </w:rPr>
              <w:tab/>
            </w:r>
            <w:r w:rsidR="00530F4C">
              <w:rPr>
                <w:webHidden/>
              </w:rPr>
              <w:fldChar w:fldCharType="begin"/>
            </w:r>
            <w:r w:rsidR="00530F4C">
              <w:rPr>
                <w:webHidden/>
              </w:rPr>
              <w:instrText xml:space="preserve"> PAGEREF _Toc184645970 \h </w:instrText>
            </w:r>
            <w:r w:rsidR="00530F4C">
              <w:rPr>
                <w:webHidden/>
              </w:rPr>
            </w:r>
            <w:r w:rsidR="00530F4C">
              <w:rPr>
                <w:webHidden/>
              </w:rPr>
              <w:fldChar w:fldCharType="separate"/>
            </w:r>
            <w:r w:rsidR="00E228A6">
              <w:rPr>
                <w:webHidden/>
              </w:rPr>
              <w:t>24</w:t>
            </w:r>
            <w:r w:rsidR="00530F4C">
              <w:rPr>
                <w:webHidden/>
              </w:rPr>
              <w:fldChar w:fldCharType="end"/>
            </w:r>
          </w:hyperlink>
        </w:p>
        <w:p w14:paraId="237A2F6A" w14:textId="037E9BC5"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71" w:history="1">
            <w:r w:rsidR="00530F4C" w:rsidRPr="00406629">
              <w:rPr>
                <w:rStyle w:val="Hyperlink"/>
              </w:rPr>
              <w:t>9.1</w:t>
            </w:r>
            <w:r w:rsidR="00530F4C">
              <w:rPr>
                <w:rFonts w:eastAsiaTheme="minorEastAsia" w:cstheme="minorBidi"/>
                <w:spacing w:val="0"/>
                <w:kern w:val="2"/>
                <w:sz w:val="22"/>
                <w:szCs w:val="22"/>
                <w14:ligatures w14:val="standardContextual"/>
              </w:rPr>
              <w:tab/>
            </w:r>
            <w:r w:rsidR="00530F4C" w:rsidRPr="00406629">
              <w:rPr>
                <w:rStyle w:val="Hyperlink"/>
              </w:rPr>
              <w:t>Concept design</w:t>
            </w:r>
            <w:r w:rsidR="00530F4C">
              <w:rPr>
                <w:webHidden/>
              </w:rPr>
              <w:tab/>
            </w:r>
            <w:r w:rsidR="00530F4C">
              <w:rPr>
                <w:webHidden/>
              </w:rPr>
              <w:fldChar w:fldCharType="begin"/>
            </w:r>
            <w:r w:rsidR="00530F4C">
              <w:rPr>
                <w:webHidden/>
              </w:rPr>
              <w:instrText xml:space="preserve"> PAGEREF _Toc184645971 \h </w:instrText>
            </w:r>
            <w:r w:rsidR="00530F4C">
              <w:rPr>
                <w:webHidden/>
              </w:rPr>
            </w:r>
            <w:r w:rsidR="00530F4C">
              <w:rPr>
                <w:webHidden/>
              </w:rPr>
              <w:fldChar w:fldCharType="separate"/>
            </w:r>
            <w:r w:rsidR="00E228A6">
              <w:rPr>
                <w:webHidden/>
              </w:rPr>
              <w:t>24</w:t>
            </w:r>
            <w:r w:rsidR="00530F4C">
              <w:rPr>
                <w:webHidden/>
              </w:rPr>
              <w:fldChar w:fldCharType="end"/>
            </w:r>
          </w:hyperlink>
        </w:p>
        <w:p w14:paraId="2179AC35" w14:textId="1BF6858C" w:rsidR="00530F4C" w:rsidRDefault="00000000">
          <w:pPr>
            <w:pStyle w:val="TOC2"/>
            <w:tabs>
              <w:tab w:val="left" w:pos="660"/>
            </w:tabs>
            <w:rPr>
              <w:rFonts w:eastAsiaTheme="minorEastAsia" w:cstheme="minorBidi"/>
              <w:spacing w:val="0"/>
              <w:kern w:val="2"/>
              <w:sz w:val="22"/>
              <w:szCs w:val="22"/>
              <w14:ligatures w14:val="standardContextual"/>
            </w:rPr>
          </w:pPr>
          <w:hyperlink w:anchor="_Toc184645972" w:history="1">
            <w:r w:rsidR="00530F4C" w:rsidRPr="00406629">
              <w:rPr>
                <w:rStyle w:val="Hyperlink"/>
              </w:rPr>
              <w:t>9.2</w:t>
            </w:r>
            <w:r w:rsidR="00530F4C">
              <w:rPr>
                <w:rFonts w:eastAsiaTheme="minorEastAsia" w:cstheme="minorBidi"/>
                <w:spacing w:val="0"/>
                <w:kern w:val="2"/>
                <w:sz w:val="22"/>
                <w:szCs w:val="22"/>
                <w14:ligatures w14:val="standardContextual"/>
              </w:rPr>
              <w:tab/>
            </w:r>
            <w:r w:rsidR="00530F4C" w:rsidRPr="00406629">
              <w:rPr>
                <w:rStyle w:val="Hyperlink"/>
              </w:rPr>
              <w:t>Functional/Detail design</w:t>
            </w:r>
            <w:r w:rsidR="00530F4C">
              <w:rPr>
                <w:webHidden/>
              </w:rPr>
              <w:tab/>
            </w:r>
            <w:r w:rsidR="00530F4C">
              <w:rPr>
                <w:webHidden/>
              </w:rPr>
              <w:fldChar w:fldCharType="begin"/>
            </w:r>
            <w:r w:rsidR="00530F4C">
              <w:rPr>
                <w:webHidden/>
              </w:rPr>
              <w:instrText xml:space="preserve"> PAGEREF _Toc184645972 \h </w:instrText>
            </w:r>
            <w:r w:rsidR="00530F4C">
              <w:rPr>
                <w:webHidden/>
              </w:rPr>
            </w:r>
            <w:r w:rsidR="00530F4C">
              <w:rPr>
                <w:webHidden/>
              </w:rPr>
              <w:fldChar w:fldCharType="separate"/>
            </w:r>
            <w:r w:rsidR="00E228A6">
              <w:rPr>
                <w:webHidden/>
              </w:rPr>
              <w:t>24</w:t>
            </w:r>
            <w:r w:rsidR="00530F4C">
              <w:rPr>
                <w:webHidden/>
              </w:rPr>
              <w:fldChar w:fldCharType="end"/>
            </w:r>
          </w:hyperlink>
        </w:p>
        <w:p w14:paraId="53D037A8" w14:textId="2792C4C7" w:rsidR="00530F4C" w:rsidRDefault="00000000">
          <w:pPr>
            <w:pStyle w:val="TOC1"/>
            <w:rPr>
              <w:rFonts w:eastAsiaTheme="minorEastAsia" w:cstheme="minorBidi"/>
              <w:b w:val="0"/>
              <w:color w:val="auto"/>
              <w:spacing w:val="0"/>
              <w:kern w:val="2"/>
              <w:sz w:val="22"/>
              <w:szCs w:val="22"/>
              <w14:ligatures w14:val="standardContextual"/>
            </w:rPr>
          </w:pPr>
          <w:hyperlink w:anchor="_Toc184645973" w:history="1">
            <w:r w:rsidR="00530F4C" w:rsidRPr="00406629">
              <w:rPr>
                <w:rStyle w:val="Hyperlink"/>
              </w:rPr>
              <w:t>Appendix A: Stage-Storage-Discharge Relationships</w:t>
            </w:r>
            <w:r w:rsidR="00530F4C">
              <w:rPr>
                <w:webHidden/>
              </w:rPr>
              <w:tab/>
            </w:r>
            <w:r w:rsidR="00530F4C">
              <w:rPr>
                <w:webHidden/>
              </w:rPr>
              <w:fldChar w:fldCharType="begin"/>
            </w:r>
            <w:r w:rsidR="00530F4C">
              <w:rPr>
                <w:webHidden/>
              </w:rPr>
              <w:instrText xml:space="preserve"> PAGEREF _Toc184645973 \h </w:instrText>
            </w:r>
            <w:r w:rsidR="00530F4C">
              <w:rPr>
                <w:webHidden/>
              </w:rPr>
            </w:r>
            <w:r w:rsidR="00530F4C">
              <w:rPr>
                <w:webHidden/>
              </w:rPr>
              <w:fldChar w:fldCharType="separate"/>
            </w:r>
            <w:r w:rsidR="00E228A6">
              <w:rPr>
                <w:webHidden/>
              </w:rPr>
              <w:t>27</w:t>
            </w:r>
            <w:r w:rsidR="00530F4C">
              <w:rPr>
                <w:webHidden/>
              </w:rPr>
              <w:fldChar w:fldCharType="end"/>
            </w:r>
          </w:hyperlink>
        </w:p>
        <w:p w14:paraId="75F41007" w14:textId="72CEC649" w:rsidR="00530F4C" w:rsidRDefault="00000000">
          <w:pPr>
            <w:pStyle w:val="TOC3"/>
            <w:rPr>
              <w:rFonts w:eastAsiaTheme="minorEastAsia" w:cstheme="minorBidi"/>
              <w:spacing w:val="0"/>
              <w:kern w:val="2"/>
              <w:sz w:val="22"/>
              <w:szCs w:val="22"/>
              <w14:ligatures w14:val="standardContextual"/>
            </w:rPr>
          </w:pPr>
          <w:hyperlink w:anchor="_Toc184645974" w:history="1">
            <w:r w:rsidR="00530F4C" w:rsidRPr="00406629">
              <w:rPr>
                <w:rStyle w:val="Hyperlink"/>
              </w:rPr>
              <w:t>Extended detention depth</w:t>
            </w:r>
            <w:r w:rsidR="00530F4C">
              <w:rPr>
                <w:webHidden/>
              </w:rPr>
              <w:tab/>
            </w:r>
            <w:r w:rsidR="00530F4C">
              <w:rPr>
                <w:webHidden/>
              </w:rPr>
              <w:fldChar w:fldCharType="begin"/>
            </w:r>
            <w:r w:rsidR="00530F4C">
              <w:rPr>
                <w:webHidden/>
              </w:rPr>
              <w:instrText xml:space="preserve"> PAGEREF _Toc184645974 \h </w:instrText>
            </w:r>
            <w:r w:rsidR="00530F4C">
              <w:rPr>
                <w:webHidden/>
              </w:rPr>
            </w:r>
            <w:r w:rsidR="00530F4C">
              <w:rPr>
                <w:webHidden/>
              </w:rPr>
              <w:fldChar w:fldCharType="separate"/>
            </w:r>
            <w:r w:rsidR="00E228A6">
              <w:rPr>
                <w:webHidden/>
              </w:rPr>
              <w:t>27</w:t>
            </w:r>
            <w:r w:rsidR="00530F4C">
              <w:rPr>
                <w:webHidden/>
              </w:rPr>
              <w:fldChar w:fldCharType="end"/>
            </w:r>
          </w:hyperlink>
        </w:p>
        <w:p w14:paraId="2F17E13E" w14:textId="07472DDB" w:rsidR="00530F4C" w:rsidRDefault="00000000">
          <w:pPr>
            <w:pStyle w:val="TOC3"/>
            <w:rPr>
              <w:rFonts w:eastAsiaTheme="minorEastAsia" w:cstheme="minorBidi"/>
              <w:spacing w:val="0"/>
              <w:kern w:val="2"/>
              <w:sz w:val="22"/>
              <w:szCs w:val="22"/>
              <w14:ligatures w14:val="standardContextual"/>
            </w:rPr>
          </w:pPr>
          <w:hyperlink w:anchor="_Toc184645975" w:history="1">
            <w:r w:rsidR="00530F4C" w:rsidRPr="00406629">
              <w:rPr>
                <w:rStyle w:val="Hyperlink"/>
              </w:rPr>
              <w:t>Stage-storage</w:t>
            </w:r>
            <w:r w:rsidR="00530F4C">
              <w:rPr>
                <w:webHidden/>
              </w:rPr>
              <w:tab/>
            </w:r>
            <w:r w:rsidR="00530F4C">
              <w:rPr>
                <w:webHidden/>
              </w:rPr>
              <w:fldChar w:fldCharType="begin"/>
            </w:r>
            <w:r w:rsidR="00530F4C">
              <w:rPr>
                <w:webHidden/>
              </w:rPr>
              <w:instrText xml:space="preserve"> PAGEREF _Toc184645975 \h </w:instrText>
            </w:r>
            <w:r w:rsidR="00530F4C">
              <w:rPr>
                <w:webHidden/>
              </w:rPr>
            </w:r>
            <w:r w:rsidR="00530F4C">
              <w:rPr>
                <w:webHidden/>
              </w:rPr>
              <w:fldChar w:fldCharType="separate"/>
            </w:r>
            <w:r w:rsidR="00E228A6">
              <w:rPr>
                <w:webHidden/>
              </w:rPr>
              <w:t>27</w:t>
            </w:r>
            <w:r w:rsidR="00530F4C">
              <w:rPr>
                <w:webHidden/>
              </w:rPr>
              <w:fldChar w:fldCharType="end"/>
            </w:r>
          </w:hyperlink>
        </w:p>
        <w:p w14:paraId="4228D560" w14:textId="1018177A" w:rsidR="00530F4C" w:rsidRDefault="00000000">
          <w:pPr>
            <w:pStyle w:val="TOC3"/>
            <w:rPr>
              <w:rFonts w:eastAsiaTheme="minorEastAsia" w:cstheme="minorBidi"/>
              <w:spacing w:val="0"/>
              <w:kern w:val="2"/>
              <w:sz w:val="22"/>
              <w:szCs w:val="22"/>
              <w14:ligatures w14:val="standardContextual"/>
            </w:rPr>
          </w:pPr>
          <w:hyperlink w:anchor="_Toc184645976" w:history="1">
            <w:r w:rsidR="00530F4C" w:rsidRPr="00406629">
              <w:rPr>
                <w:rStyle w:val="Hyperlink"/>
              </w:rPr>
              <w:t>Stage-Discharge Relationship</w:t>
            </w:r>
            <w:r w:rsidR="00530F4C">
              <w:rPr>
                <w:webHidden/>
              </w:rPr>
              <w:tab/>
            </w:r>
            <w:r w:rsidR="00530F4C">
              <w:rPr>
                <w:webHidden/>
              </w:rPr>
              <w:fldChar w:fldCharType="begin"/>
            </w:r>
            <w:r w:rsidR="00530F4C">
              <w:rPr>
                <w:webHidden/>
              </w:rPr>
              <w:instrText xml:space="preserve"> PAGEREF _Toc184645976 \h </w:instrText>
            </w:r>
            <w:r w:rsidR="00530F4C">
              <w:rPr>
                <w:webHidden/>
              </w:rPr>
            </w:r>
            <w:r w:rsidR="00530F4C">
              <w:rPr>
                <w:webHidden/>
              </w:rPr>
              <w:fldChar w:fldCharType="separate"/>
            </w:r>
            <w:r w:rsidR="00E228A6">
              <w:rPr>
                <w:webHidden/>
              </w:rPr>
              <w:t>29</w:t>
            </w:r>
            <w:r w:rsidR="00530F4C">
              <w:rPr>
                <w:webHidden/>
              </w:rPr>
              <w:fldChar w:fldCharType="end"/>
            </w:r>
          </w:hyperlink>
        </w:p>
        <w:p w14:paraId="338E9326" w14:textId="228E0D8D" w:rsidR="00530F4C" w:rsidRDefault="00000000">
          <w:pPr>
            <w:pStyle w:val="TOC1"/>
            <w:rPr>
              <w:rFonts w:eastAsiaTheme="minorEastAsia" w:cstheme="minorBidi"/>
              <w:b w:val="0"/>
              <w:color w:val="auto"/>
              <w:spacing w:val="0"/>
              <w:kern w:val="2"/>
              <w:sz w:val="22"/>
              <w:szCs w:val="22"/>
              <w14:ligatures w14:val="standardContextual"/>
            </w:rPr>
          </w:pPr>
          <w:hyperlink w:anchor="_Toc184645977" w:history="1">
            <w:r w:rsidR="00530F4C" w:rsidRPr="00406629">
              <w:rPr>
                <w:rStyle w:val="Hyperlink"/>
              </w:rPr>
              <w:t>Appendix B: Selection of Rainfall Templates</w:t>
            </w:r>
            <w:r w:rsidR="00530F4C">
              <w:rPr>
                <w:webHidden/>
              </w:rPr>
              <w:tab/>
            </w:r>
            <w:r w:rsidR="00530F4C">
              <w:rPr>
                <w:webHidden/>
              </w:rPr>
              <w:fldChar w:fldCharType="begin"/>
            </w:r>
            <w:r w:rsidR="00530F4C">
              <w:rPr>
                <w:webHidden/>
              </w:rPr>
              <w:instrText xml:space="preserve"> PAGEREF _Toc184645977 \h </w:instrText>
            </w:r>
            <w:r w:rsidR="00530F4C">
              <w:rPr>
                <w:webHidden/>
              </w:rPr>
            </w:r>
            <w:r w:rsidR="00530F4C">
              <w:rPr>
                <w:webHidden/>
              </w:rPr>
              <w:fldChar w:fldCharType="separate"/>
            </w:r>
            <w:r w:rsidR="00E228A6">
              <w:rPr>
                <w:webHidden/>
              </w:rPr>
              <w:t>32</w:t>
            </w:r>
            <w:r w:rsidR="00530F4C">
              <w:rPr>
                <w:webHidden/>
              </w:rPr>
              <w:fldChar w:fldCharType="end"/>
            </w:r>
          </w:hyperlink>
        </w:p>
        <w:p w14:paraId="7FAFF962" w14:textId="346ECB22" w:rsidR="00530F4C" w:rsidRDefault="00000000">
          <w:pPr>
            <w:pStyle w:val="TOC1"/>
            <w:rPr>
              <w:rFonts w:eastAsiaTheme="minorEastAsia" w:cstheme="minorBidi"/>
              <w:b w:val="0"/>
              <w:color w:val="auto"/>
              <w:spacing w:val="0"/>
              <w:kern w:val="2"/>
              <w:sz w:val="22"/>
              <w:szCs w:val="22"/>
              <w14:ligatures w14:val="standardContextual"/>
            </w:rPr>
          </w:pPr>
          <w:hyperlink w:anchor="_Toc184645978" w:history="1">
            <w:r w:rsidR="00530F4C" w:rsidRPr="00406629">
              <w:rPr>
                <w:rStyle w:val="Hyperlink"/>
              </w:rPr>
              <w:t>Appendix C - When is a Bioretention Asset Appropriate?</w:t>
            </w:r>
            <w:r w:rsidR="00530F4C">
              <w:rPr>
                <w:webHidden/>
              </w:rPr>
              <w:tab/>
            </w:r>
            <w:r w:rsidR="00530F4C">
              <w:rPr>
                <w:webHidden/>
              </w:rPr>
              <w:fldChar w:fldCharType="begin"/>
            </w:r>
            <w:r w:rsidR="00530F4C">
              <w:rPr>
                <w:webHidden/>
              </w:rPr>
              <w:instrText xml:space="preserve"> PAGEREF _Toc184645978 \h </w:instrText>
            </w:r>
            <w:r w:rsidR="00530F4C">
              <w:rPr>
                <w:webHidden/>
              </w:rPr>
            </w:r>
            <w:r w:rsidR="00530F4C">
              <w:rPr>
                <w:webHidden/>
              </w:rPr>
              <w:fldChar w:fldCharType="separate"/>
            </w:r>
            <w:r w:rsidR="00E228A6">
              <w:rPr>
                <w:webHidden/>
              </w:rPr>
              <w:t>33</w:t>
            </w:r>
            <w:r w:rsidR="00530F4C">
              <w:rPr>
                <w:webHidden/>
              </w:rPr>
              <w:fldChar w:fldCharType="end"/>
            </w:r>
          </w:hyperlink>
        </w:p>
        <w:p w14:paraId="419EFFC0" w14:textId="1CFF29FA" w:rsidR="004D51B9" w:rsidRDefault="004D51B9">
          <w:r>
            <w:rPr>
              <w:b/>
              <w:bCs/>
              <w:noProof/>
            </w:rPr>
            <w:fldChar w:fldCharType="end"/>
          </w:r>
        </w:p>
      </w:sdtContent>
    </w:sdt>
    <w:p w14:paraId="4EE458D0" w14:textId="77777777" w:rsidR="00A552A9" w:rsidRDefault="00A552A9" w:rsidP="00EC42AC">
      <w:pPr>
        <w:pStyle w:val="TOFHeading"/>
      </w:pPr>
    </w:p>
    <w:p w14:paraId="293004D2" w14:textId="77777777" w:rsidR="004D51B9" w:rsidRPr="00D42E0F" w:rsidRDefault="00E40423" w:rsidP="00EC42AC">
      <w:pPr>
        <w:pStyle w:val="TOFHeading"/>
      </w:pPr>
      <w:r>
        <w:t>List of F</w:t>
      </w:r>
      <w:r w:rsidR="00D42E0F">
        <w:t>igures</w:t>
      </w:r>
    </w:p>
    <w:p w14:paraId="68D2D883" w14:textId="49192706" w:rsidR="00530F4C" w:rsidRPr="00530F4C" w:rsidRDefault="006D63E0" w:rsidP="00530F4C">
      <w:pPr>
        <w:pStyle w:val="TableofFigures"/>
        <w:tabs>
          <w:tab w:val="clear" w:pos="5007"/>
          <w:tab w:val="right" w:leader="dot" w:pos="8647"/>
        </w:tabs>
        <w:spacing w:after="120"/>
        <w:rPr>
          <w:rStyle w:val="Hyperlink"/>
        </w:rPr>
      </w:pPr>
      <w:r w:rsidRPr="00093BCB">
        <w:rPr>
          <w:rStyle w:val="Hyperlink"/>
        </w:rPr>
        <w:fldChar w:fldCharType="begin"/>
      </w:r>
      <w:r w:rsidRPr="00093BCB">
        <w:rPr>
          <w:rStyle w:val="Hyperlink"/>
        </w:rPr>
        <w:instrText xml:space="preserve"> TOC \h \z \c "Figure" </w:instrText>
      </w:r>
      <w:r w:rsidRPr="00093BCB">
        <w:rPr>
          <w:rStyle w:val="Hyperlink"/>
        </w:rPr>
        <w:fldChar w:fldCharType="separate"/>
      </w:r>
      <w:hyperlink w:anchor="_Toc184645979" w:history="1">
        <w:r w:rsidR="00530F4C" w:rsidRPr="00F67F93">
          <w:rPr>
            <w:rStyle w:val="Hyperlink"/>
          </w:rPr>
          <w:t>Figure 1: Rainfall region boundaries determined for Greater Geelong</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_Toc184645979 \h </w:instrText>
        </w:r>
        <w:r w:rsidR="00530F4C" w:rsidRPr="00530F4C">
          <w:rPr>
            <w:rStyle w:val="Hyperlink"/>
            <w:webHidden/>
          </w:rPr>
        </w:r>
        <w:r w:rsidR="00530F4C" w:rsidRPr="00530F4C">
          <w:rPr>
            <w:rStyle w:val="Hyperlink"/>
            <w:webHidden/>
          </w:rPr>
          <w:fldChar w:fldCharType="separate"/>
        </w:r>
        <w:r w:rsidR="00E228A6">
          <w:rPr>
            <w:rStyle w:val="Hyperlink"/>
            <w:webHidden/>
          </w:rPr>
          <w:t>5</w:t>
        </w:r>
        <w:r w:rsidR="00530F4C" w:rsidRPr="00530F4C">
          <w:rPr>
            <w:rStyle w:val="Hyperlink"/>
            <w:webHidden/>
          </w:rPr>
          <w:fldChar w:fldCharType="end"/>
        </w:r>
      </w:hyperlink>
    </w:p>
    <w:p w14:paraId="7BC905A2" w14:textId="082E1AF8" w:rsidR="00530F4C" w:rsidRPr="00530F4C" w:rsidRDefault="00000000" w:rsidP="00530F4C">
      <w:pPr>
        <w:pStyle w:val="TableofFigures"/>
        <w:tabs>
          <w:tab w:val="clear" w:pos="5007"/>
          <w:tab w:val="right" w:leader="dot" w:pos="8647"/>
        </w:tabs>
        <w:spacing w:after="120"/>
        <w:rPr>
          <w:rStyle w:val="Hyperlink"/>
        </w:rPr>
      </w:pPr>
      <w:hyperlink w:anchor="_Toc184645980" w:history="1">
        <w:r w:rsidR="00530F4C" w:rsidRPr="00F67F93">
          <w:rPr>
            <w:rStyle w:val="Hyperlink"/>
          </w:rPr>
          <w:t>Figure 2: Comparing plant heights and effective water depth.</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_Toc184645980 \h </w:instrText>
        </w:r>
        <w:r w:rsidR="00530F4C" w:rsidRPr="00530F4C">
          <w:rPr>
            <w:rStyle w:val="Hyperlink"/>
            <w:webHidden/>
          </w:rPr>
        </w:r>
        <w:r w:rsidR="00530F4C" w:rsidRPr="00530F4C">
          <w:rPr>
            <w:rStyle w:val="Hyperlink"/>
            <w:webHidden/>
          </w:rPr>
          <w:fldChar w:fldCharType="separate"/>
        </w:r>
        <w:r w:rsidR="00E228A6">
          <w:rPr>
            <w:rStyle w:val="Hyperlink"/>
            <w:webHidden/>
          </w:rPr>
          <w:t>10</w:t>
        </w:r>
        <w:r w:rsidR="00530F4C" w:rsidRPr="00530F4C">
          <w:rPr>
            <w:rStyle w:val="Hyperlink"/>
            <w:webHidden/>
          </w:rPr>
          <w:fldChar w:fldCharType="end"/>
        </w:r>
      </w:hyperlink>
    </w:p>
    <w:p w14:paraId="69EA1534" w14:textId="3CA95A46" w:rsidR="00530F4C" w:rsidRPr="00530F4C" w:rsidRDefault="00000000" w:rsidP="00530F4C">
      <w:pPr>
        <w:pStyle w:val="TableofFigures"/>
        <w:tabs>
          <w:tab w:val="clear" w:pos="5007"/>
          <w:tab w:val="right" w:leader="dot" w:pos="8647"/>
        </w:tabs>
        <w:spacing w:after="120"/>
        <w:rPr>
          <w:rStyle w:val="Hyperlink"/>
        </w:rPr>
      </w:pPr>
      <w:hyperlink w:anchor="_Toc184645981" w:history="1">
        <w:r w:rsidR="00530F4C" w:rsidRPr="00F67F93">
          <w:rPr>
            <w:rStyle w:val="Hyperlink"/>
          </w:rPr>
          <w:t>Figure 3: Typical inundation frequency graph for assessing.</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_Toc184645981 \h </w:instrText>
        </w:r>
        <w:r w:rsidR="00530F4C" w:rsidRPr="00530F4C">
          <w:rPr>
            <w:rStyle w:val="Hyperlink"/>
            <w:webHidden/>
          </w:rPr>
        </w:r>
        <w:r w:rsidR="00530F4C" w:rsidRPr="00530F4C">
          <w:rPr>
            <w:rStyle w:val="Hyperlink"/>
            <w:webHidden/>
          </w:rPr>
          <w:fldChar w:fldCharType="separate"/>
        </w:r>
        <w:r w:rsidR="00E228A6">
          <w:rPr>
            <w:rStyle w:val="Hyperlink"/>
            <w:webHidden/>
          </w:rPr>
          <w:t>11</w:t>
        </w:r>
        <w:r w:rsidR="00530F4C" w:rsidRPr="00530F4C">
          <w:rPr>
            <w:rStyle w:val="Hyperlink"/>
            <w:webHidden/>
          </w:rPr>
          <w:fldChar w:fldCharType="end"/>
        </w:r>
      </w:hyperlink>
    </w:p>
    <w:p w14:paraId="543C67BF" w14:textId="384CE915" w:rsidR="00530F4C" w:rsidRPr="00530F4C" w:rsidRDefault="00000000" w:rsidP="00530F4C">
      <w:pPr>
        <w:pStyle w:val="TableofFigures"/>
        <w:tabs>
          <w:tab w:val="clear" w:pos="5007"/>
          <w:tab w:val="right" w:leader="dot" w:pos="8647"/>
        </w:tabs>
        <w:spacing w:after="120"/>
        <w:rPr>
          <w:rStyle w:val="Hyperlink"/>
        </w:rPr>
      </w:pPr>
      <w:hyperlink w:anchor="_Toc184645982" w:history="1">
        <w:r w:rsidR="00530F4C" w:rsidRPr="00F67F93">
          <w:rPr>
            <w:rStyle w:val="Hyperlink"/>
          </w:rPr>
          <w:t>Figure 4: Typical plant selection to select suitable plants.</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_Toc184645982 \h </w:instrText>
        </w:r>
        <w:r w:rsidR="00530F4C" w:rsidRPr="00530F4C">
          <w:rPr>
            <w:rStyle w:val="Hyperlink"/>
            <w:webHidden/>
          </w:rPr>
        </w:r>
        <w:r w:rsidR="00530F4C" w:rsidRPr="00530F4C">
          <w:rPr>
            <w:rStyle w:val="Hyperlink"/>
            <w:webHidden/>
          </w:rPr>
          <w:fldChar w:fldCharType="separate"/>
        </w:r>
        <w:r w:rsidR="00E228A6">
          <w:rPr>
            <w:rStyle w:val="Hyperlink"/>
            <w:webHidden/>
          </w:rPr>
          <w:t>11</w:t>
        </w:r>
        <w:r w:rsidR="00530F4C" w:rsidRPr="00530F4C">
          <w:rPr>
            <w:rStyle w:val="Hyperlink"/>
            <w:webHidden/>
          </w:rPr>
          <w:fldChar w:fldCharType="end"/>
        </w:r>
      </w:hyperlink>
    </w:p>
    <w:p w14:paraId="2C64EDE5" w14:textId="23E29940" w:rsidR="00530F4C" w:rsidRPr="00530F4C" w:rsidRDefault="00000000" w:rsidP="00530F4C">
      <w:pPr>
        <w:pStyle w:val="TableofFigures"/>
        <w:tabs>
          <w:tab w:val="clear" w:pos="5007"/>
          <w:tab w:val="right" w:leader="dot" w:pos="8647"/>
        </w:tabs>
        <w:spacing w:after="120"/>
        <w:rPr>
          <w:rStyle w:val="Hyperlink"/>
        </w:rPr>
      </w:pPr>
      <w:hyperlink w:anchor="_Toc184645983" w:history="1">
        <w:r w:rsidR="00530F4C" w:rsidRPr="00F67F93">
          <w:rPr>
            <w:rStyle w:val="Hyperlink"/>
          </w:rPr>
          <w:t>Figure 5: Example results demonstrating compliance with all requirements.</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_Toc184645983 \h </w:instrText>
        </w:r>
        <w:r w:rsidR="00530F4C" w:rsidRPr="00530F4C">
          <w:rPr>
            <w:rStyle w:val="Hyperlink"/>
            <w:webHidden/>
          </w:rPr>
        </w:r>
        <w:r w:rsidR="00530F4C" w:rsidRPr="00530F4C">
          <w:rPr>
            <w:rStyle w:val="Hyperlink"/>
            <w:webHidden/>
          </w:rPr>
          <w:fldChar w:fldCharType="separate"/>
        </w:r>
        <w:r w:rsidR="00E228A6">
          <w:rPr>
            <w:rStyle w:val="Hyperlink"/>
            <w:webHidden/>
          </w:rPr>
          <w:t>12</w:t>
        </w:r>
        <w:r w:rsidR="00530F4C" w:rsidRPr="00530F4C">
          <w:rPr>
            <w:rStyle w:val="Hyperlink"/>
            <w:webHidden/>
          </w:rPr>
          <w:fldChar w:fldCharType="end"/>
        </w:r>
      </w:hyperlink>
    </w:p>
    <w:p w14:paraId="3707260F" w14:textId="61FF9E83" w:rsidR="00530F4C" w:rsidRPr="00530F4C" w:rsidRDefault="00000000" w:rsidP="00530F4C">
      <w:pPr>
        <w:pStyle w:val="TableofFigures"/>
        <w:tabs>
          <w:tab w:val="clear" w:pos="5007"/>
          <w:tab w:val="right" w:leader="dot" w:pos="8647"/>
        </w:tabs>
        <w:spacing w:after="120"/>
        <w:rPr>
          <w:rStyle w:val="Hyperlink"/>
        </w:rPr>
      </w:pPr>
      <w:hyperlink w:anchor="_Toc184645984" w:history="1">
        <w:r w:rsidR="00530F4C" w:rsidRPr="00F67F93">
          <w:rPr>
            <w:rStyle w:val="Hyperlink"/>
          </w:rPr>
          <w:t>Figure 6: Example results demonstrating non-compliance.</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_Toc184645984 \h </w:instrText>
        </w:r>
        <w:r w:rsidR="00530F4C" w:rsidRPr="00530F4C">
          <w:rPr>
            <w:rStyle w:val="Hyperlink"/>
            <w:webHidden/>
          </w:rPr>
        </w:r>
        <w:r w:rsidR="00530F4C" w:rsidRPr="00530F4C">
          <w:rPr>
            <w:rStyle w:val="Hyperlink"/>
            <w:webHidden/>
          </w:rPr>
          <w:fldChar w:fldCharType="separate"/>
        </w:r>
        <w:r w:rsidR="00E228A6">
          <w:rPr>
            <w:rStyle w:val="Hyperlink"/>
            <w:webHidden/>
          </w:rPr>
          <w:t>12</w:t>
        </w:r>
        <w:r w:rsidR="00530F4C" w:rsidRPr="00530F4C">
          <w:rPr>
            <w:rStyle w:val="Hyperlink"/>
            <w:webHidden/>
          </w:rPr>
          <w:fldChar w:fldCharType="end"/>
        </w:r>
      </w:hyperlink>
    </w:p>
    <w:p w14:paraId="284BEC4F" w14:textId="58EE8C4C" w:rsidR="00530F4C" w:rsidRPr="00530F4C" w:rsidRDefault="00000000" w:rsidP="00530F4C">
      <w:pPr>
        <w:pStyle w:val="TableofFigures"/>
        <w:tabs>
          <w:tab w:val="clear" w:pos="5007"/>
          <w:tab w:val="right" w:leader="dot" w:pos="8647"/>
        </w:tabs>
        <w:spacing w:after="120"/>
        <w:rPr>
          <w:rStyle w:val="Hyperlink"/>
        </w:rPr>
      </w:pPr>
      <w:hyperlink w:anchor="_Toc184645985" w:history="1">
        <w:r w:rsidR="00530F4C" w:rsidRPr="00F67F93">
          <w:rPr>
            <w:rStyle w:val="Hyperlink"/>
          </w:rPr>
          <w:t>Figure 7: Typical spells analysis output indicating compliance with requirement 3</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_Toc184645985 \h </w:instrText>
        </w:r>
        <w:r w:rsidR="00530F4C" w:rsidRPr="00530F4C">
          <w:rPr>
            <w:rStyle w:val="Hyperlink"/>
            <w:webHidden/>
          </w:rPr>
        </w:r>
        <w:r w:rsidR="00530F4C" w:rsidRPr="00530F4C">
          <w:rPr>
            <w:rStyle w:val="Hyperlink"/>
            <w:webHidden/>
          </w:rPr>
          <w:fldChar w:fldCharType="separate"/>
        </w:r>
        <w:r w:rsidR="00E228A6">
          <w:rPr>
            <w:rStyle w:val="Hyperlink"/>
            <w:webHidden/>
          </w:rPr>
          <w:t>13</w:t>
        </w:r>
        <w:r w:rsidR="00530F4C" w:rsidRPr="00530F4C">
          <w:rPr>
            <w:rStyle w:val="Hyperlink"/>
            <w:webHidden/>
          </w:rPr>
          <w:fldChar w:fldCharType="end"/>
        </w:r>
      </w:hyperlink>
    </w:p>
    <w:p w14:paraId="03B56AE5" w14:textId="71D8947B" w:rsidR="00530F4C" w:rsidRPr="00530F4C" w:rsidRDefault="00000000" w:rsidP="00530F4C">
      <w:pPr>
        <w:pStyle w:val="TableofFigures"/>
        <w:tabs>
          <w:tab w:val="clear" w:pos="5007"/>
          <w:tab w:val="right" w:leader="dot" w:pos="8647"/>
        </w:tabs>
        <w:spacing w:after="120"/>
        <w:rPr>
          <w:rStyle w:val="Hyperlink"/>
        </w:rPr>
      </w:pPr>
      <w:hyperlink w:anchor="_Toc184645986" w:history="1">
        <w:r w:rsidR="00530F4C" w:rsidRPr="00F67F93">
          <w:rPr>
            <w:rStyle w:val="Hyperlink"/>
          </w:rPr>
          <w:t>Figure 8: Monthly rainfall totals.</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_Toc184645986 \h </w:instrText>
        </w:r>
        <w:r w:rsidR="00530F4C" w:rsidRPr="00530F4C">
          <w:rPr>
            <w:rStyle w:val="Hyperlink"/>
            <w:webHidden/>
          </w:rPr>
        </w:r>
        <w:r w:rsidR="00530F4C" w:rsidRPr="00530F4C">
          <w:rPr>
            <w:rStyle w:val="Hyperlink"/>
            <w:webHidden/>
          </w:rPr>
          <w:fldChar w:fldCharType="separate"/>
        </w:r>
        <w:r w:rsidR="00E228A6">
          <w:rPr>
            <w:rStyle w:val="Hyperlink"/>
            <w:webHidden/>
          </w:rPr>
          <w:t>20</w:t>
        </w:r>
        <w:r w:rsidR="00530F4C" w:rsidRPr="00530F4C">
          <w:rPr>
            <w:rStyle w:val="Hyperlink"/>
            <w:webHidden/>
          </w:rPr>
          <w:fldChar w:fldCharType="end"/>
        </w:r>
      </w:hyperlink>
    </w:p>
    <w:p w14:paraId="61D27EA6" w14:textId="50B768D2" w:rsidR="00530F4C" w:rsidRPr="00530F4C" w:rsidRDefault="00000000" w:rsidP="00530F4C">
      <w:pPr>
        <w:pStyle w:val="TableofFigures"/>
        <w:tabs>
          <w:tab w:val="clear" w:pos="5007"/>
          <w:tab w:val="right" w:leader="dot" w:pos="8647"/>
        </w:tabs>
        <w:spacing w:after="120"/>
        <w:rPr>
          <w:rStyle w:val="Hyperlink"/>
        </w:rPr>
      </w:pPr>
      <w:hyperlink w:anchor="_Toc184645987" w:history="1">
        <w:r w:rsidR="00530F4C" w:rsidRPr="00F67F93">
          <w:rPr>
            <w:rStyle w:val="Hyperlink"/>
          </w:rPr>
          <w:t>Figure 9: Set Extended Detention Depth</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_Toc184645987 \h </w:instrText>
        </w:r>
        <w:r w:rsidR="00530F4C" w:rsidRPr="00530F4C">
          <w:rPr>
            <w:rStyle w:val="Hyperlink"/>
            <w:webHidden/>
          </w:rPr>
        </w:r>
        <w:r w:rsidR="00530F4C" w:rsidRPr="00530F4C">
          <w:rPr>
            <w:rStyle w:val="Hyperlink"/>
            <w:webHidden/>
          </w:rPr>
          <w:fldChar w:fldCharType="separate"/>
        </w:r>
        <w:r w:rsidR="00E228A6">
          <w:rPr>
            <w:rStyle w:val="Hyperlink"/>
            <w:webHidden/>
          </w:rPr>
          <w:t>27</w:t>
        </w:r>
        <w:r w:rsidR="00530F4C" w:rsidRPr="00530F4C">
          <w:rPr>
            <w:rStyle w:val="Hyperlink"/>
            <w:webHidden/>
          </w:rPr>
          <w:fldChar w:fldCharType="end"/>
        </w:r>
      </w:hyperlink>
    </w:p>
    <w:p w14:paraId="63518DA1" w14:textId="6D8D9C41" w:rsidR="00530F4C" w:rsidRPr="00530F4C" w:rsidRDefault="00000000" w:rsidP="00530F4C">
      <w:pPr>
        <w:pStyle w:val="TableofFigures"/>
        <w:tabs>
          <w:tab w:val="clear" w:pos="5007"/>
          <w:tab w:val="right" w:leader="dot" w:pos="8647"/>
        </w:tabs>
        <w:spacing w:after="120"/>
        <w:rPr>
          <w:rStyle w:val="Hyperlink"/>
        </w:rPr>
      </w:pPr>
      <w:hyperlink w:anchor="_Toc184645988" w:history="1">
        <w:r w:rsidR="00530F4C" w:rsidRPr="00F67F93">
          <w:rPr>
            <w:rStyle w:val="Hyperlink"/>
          </w:rPr>
          <w:t>Figure 10: Example Stage-Storage Relationship.</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_Toc184645988 \h </w:instrText>
        </w:r>
        <w:r w:rsidR="00530F4C" w:rsidRPr="00530F4C">
          <w:rPr>
            <w:rStyle w:val="Hyperlink"/>
            <w:webHidden/>
          </w:rPr>
        </w:r>
        <w:r w:rsidR="00530F4C" w:rsidRPr="00530F4C">
          <w:rPr>
            <w:rStyle w:val="Hyperlink"/>
            <w:webHidden/>
          </w:rPr>
          <w:fldChar w:fldCharType="separate"/>
        </w:r>
        <w:r w:rsidR="00E228A6">
          <w:rPr>
            <w:rStyle w:val="Hyperlink"/>
            <w:webHidden/>
          </w:rPr>
          <w:t>28</w:t>
        </w:r>
        <w:r w:rsidR="00530F4C" w:rsidRPr="00530F4C">
          <w:rPr>
            <w:rStyle w:val="Hyperlink"/>
            <w:webHidden/>
          </w:rPr>
          <w:fldChar w:fldCharType="end"/>
        </w:r>
      </w:hyperlink>
    </w:p>
    <w:p w14:paraId="4AB345D6" w14:textId="43C78C0E" w:rsidR="00530F4C" w:rsidRPr="00530F4C" w:rsidRDefault="00000000" w:rsidP="00530F4C">
      <w:pPr>
        <w:pStyle w:val="TableofFigures"/>
        <w:tabs>
          <w:tab w:val="clear" w:pos="5007"/>
          <w:tab w:val="right" w:leader="dot" w:pos="8647"/>
        </w:tabs>
        <w:spacing w:after="120"/>
        <w:rPr>
          <w:rStyle w:val="Hyperlink"/>
        </w:rPr>
      </w:pPr>
      <w:hyperlink w:anchor="_Toc184645989" w:history="1">
        <w:r w:rsidR="00530F4C" w:rsidRPr="00F67F93">
          <w:rPr>
            <w:rStyle w:val="Hyperlink"/>
          </w:rPr>
          <w:t>Figure 11: Extrapolation of storage to target stage value.</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_Toc184645989 \h </w:instrText>
        </w:r>
        <w:r w:rsidR="00530F4C" w:rsidRPr="00530F4C">
          <w:rPr>
            <w:rStyle w:val="Hyperlink"/>
            <w:webHidden/>
          </w:rPr>
        </w:r>
        <w:r w:rsidR="00530F4C" w:rsidRPr="00530F4C">
          <w:rPr>
            <w:rStyle w:val="Hyperlink"/>
            <w:webHidden/>
          </w:rPr>
          <w:fldChar w:fldCharType="separate"/>
        </w:r>
        <w:r w:rsidR="00E228A6">
          <w:rPr>
            <w:rStyle w:val="Hyperlink"/>
            <w:webHidden/>
          </w:rPr>
          <w:t>29</w:t>
        </w:r>
        <w:r w:rsidR="00530F4C" w:rsidRPr="00530F4C">
          <w:rPr>
            <w:rStyle w:val="Hyperlink"/>
            <w:webHidden/>
          </w:rPr>
          <w:fldChar w:fldCharType="end"/>
        </w:r>
      </w:hyperlink>
    </w:p>
    <w:p w14:paraId="5A8AEF3E" w14:textId="23BBC0FB" w:rsidR="00530F4C" w:rsidRPr="00530F4C" w:rsidRDefault="00000000" w:rsidP="00530F4C">
      <w:pPr>
        <w:pStyle w:val="TableofFigures"/>
        <w:tabs>
          <w:tab w:val="clear" w:pos="5007"/>
          <w:tab w:val="right" w:leader="dot" w:pos="8647"/>
        </w:tabs>
        <w:spacing w:after="120"/>
        <w:rPr>
          <w:rStyle w:val="Hyperlink"/>
        </w:rPr>
      </w:pPr>
      <w:hyperlink w:anchor="_Toc184645990" w:history="1">
        <w:r w:rsidR="00530F4C" w:rsidRPr="00F67F93">
          <w:rPr>
            <w:rStyle w:val="Hyperlink"/>
          </w:rPr>
          <w:t>Figure 12: Example Stage Discharge Relationship for Pipe Flow.</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_Toc184645990 \h </w:instrText>
        </w:r>
        <w:r w:rsidR="00530F4C" w:rsidRPr="00530F4C">
          <w:rPr>
            <w:rStyle w:val="Hyperlink"/>
            <w:webHidden/>
          </w:rPr>
        </w:r>
        <w:r w:rsidR="00530F4C" w:rsidRPr="00530F4C">
          <w:rPr>
            <w:rStyle w:val="Hyperlink"/>
            <w:webHidden/>
          </w:rPr>
          <w:fldChar w:fldCharType="separate"/>
        </w:r>
        <w:r w:rsidR="00E228A6">
          <w:rPr>
            <w:rStyle w:val="Hyperlink"/>
            <w:webHidden/>
          </w:rPr>
          <w:t>30</w:t>
        </w:r>
        <w:r w:rsidR="00530F4C" w:rsidRPr="00530F4C">
          <w:rPr>
            <w:rStyle w:val="Hyperlink"/>
            <w:webHidden/>
          </w:rPr>
          <w:fldChar w:fldCharType="end"/>
        </w:r>
      </w:hyperlink>
    </w:p>
    <w:p w14:paraId="1F0908D3" w14:textId="62F20CF9" w:rsidR="00530F4C" w:rsidRPr="00530F4C" w:rsidRDefault="00000000" w:rsidP="00530F4C">
      <w:pPr>
        <w:pStyle w:val="TableofFigures"/>
        <w:tabs>
          <w:tab w:val="clear" w:pos="5007"/>
          <w:tab w:val="right" w:leader="dot" w:pos="8647"/>
        </w:tabs>
        <w:spacing w:after="120"/>
        <w:rPr>
          <w:rStyle w:val="Hyperlink"/>
        </w:rPr>
      </w:pPr>
      <w:hyperlink w:anchor="_Toc184645991" w:history="1">
        <w:r w:rsidR="00530F4C" w:rsidRPr="00F67F93">
          <w:rPr>
            <w:rStyle w:val="Hyperlink"/>
          </w:rPr>
          <w:t>Figure 13: Example Stage Discharge Relationship for Weir Flow.</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_Toc184645991 \h </w:instrText>
        </w:r>
        <w:r w:rsidR="00530F4C" w:rsidRPr="00530F4C">
          <w:rPr>
            <w:rStyle w:val="Hyperlink"/>
            <w:webHidden/>
          </w:rPr>
        </w:r>
        <w:r w:rsidR="00530F4C" w:rsidRPr="00530F4C">
          <w:rPr>
            <w:rStyle w:val="Hyperlink"/>
            <w:webHidden/>
          </w:rPr>
          <w:fldChar w:fldCharType="separate"/>
        </w:r>
        <w:r w:rsidR="00E228A6">
          <w:rPr>
            <w:rStyle w:val="Hyperlink"/>
            <w:webHidden/>
          </w:rPr>
          <w:t>31</w:t>
        </w:r>
        <w:r w:rsidR="00530F4C" w:rsidRPr="00530F4C">
          <w:rPr>
            <w:rStyle w:val="Hyperlink"/>
            <w:webHidden/>
          </w:rPr>
          <w:fldChar w:fldCharType="end"/>
        </w:r>
      </w:hyperlink>
    </w:p>
    <w:p w14:paraId="4B044C24" w14:textId="38A43E53" w:rsidR="00D42E0F" w:rsidRDefault="006D63E0" w:rsidP="00093BCB">
      <w:pPr>
        <w:pStyle w:val="TableofFigures"/>
        <w:tabs>
          <w:tab w:val="clear" w:pos="5007"/>
          <w:tab w:val="right" w:leader="dot" w:pos="8647"/>
        </w:tabs>
        <w:spacing w:after="120"/>
      </w:pPr>
      <w:r w:rsidRPr="00093BCB">
        <w:rPr>
          <w:rStyle w:val="Hyperlink"/>
        </w:rPr>
        <w:fldChar w:fldCharType="end"/>
      </w:r>
    </w:p>
    <w:p w14:paraId="7EE9D033" w14:textId="77777777" w:rsidR="00D42E0F" w:rsidRDefault="00A552A9" w:rsidP="00EC42AC">
      <w:pPr>
        <w:pStyle w:val="TOFHeading"/>
      </w:pPr>
      <w:r>
        <w:t>List of T</w:t>
      </w:r>
      <w:r w:rsidR="00D42E0F">
        <w:t>ables</w:t>
      </w:r>
    </w:p>
    <w:p w14:paraId="111FF314" w14:textId="4968B5C2" w:rsidR="00530F4C" w:rsidRPr="00530F4C" w:rsidRDefault="006D63E0" w:rsidP="00530F4C">
      <w:pPr>
        <w:pStyle w:val="TableofFigures"/>
        <w:tabs>
          <w:tab w:val="clear" w:pos="5007"/>
          <w:tab w:val="right" w:leader="dot" w:pos="8647"/>
        </w:tabs>
        <w:spacing w:after="120"/>
        <w:rPr>
          <w:rStyle w:val="Hyperlink"/>
        </w:rPr>
      </w:pPr>
      <w:r w:rsidRPr="00C865D0">
        <w:rPr>
          <w:rStyle w:val="Hyperlink"/>
        </w:rPr>
        <w:fldChar w:fldCharType="begin"/>
      </w:r>
      <w:r w:rsidRPr="00C865D0">
        <w:rPr>
          <w:rStyle w:val="Hyperlink"/>
        </w:rPr>
        <w:instrText xml:space="preserve"> TOC \h \z \c "Table" </w:instrText>
      </w:r>
      <w:r w:rsidRPr="00C865D0">
        <w:rPr>
          <w:rStyle w:val="Hyperlink"/>
        </w:rPr>
        <w:fldChar w:fldCharType="separate"/>
      </w:r>
      <w:hyperlink w:anchor="_Toc184646015" w:history="1">
        <w:r w:rsidR="00530F4C" w:rsidRPr="00530F4C">
          <w:rPr>
            <w:rStyle w:val="Hyperlink"/>
          </w:rPr>
          <w:t>Table 1: Catchment ranges for coarse sediment forebays and ponds.</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_Toc184646015 \h </w:instrText>
        </w:r>
        <w:r w:rsidR="00530F4C" w:rsidRPr="00530F4C">
          <w:rPr>
            <w:rStyle w:val="Hyperlink"/>
            <w:webHidden/>
          </w:rPr>
        </w:r>
        <w:r w:rsidR="00530F4C" w:rsidRPr="00530F4C">
          <w:rPr>
            <w:rStyle w:val="Hyperlink"/>
            <w:webHidden/>
          </w:rPr>
          <w:fldChar w:fldCharType="separate"/>
        </w:r>
        <w:r w:rsidR="00E228A6">
          <w:rPr>
            <w:rStyle w:val="Hyperlink"/>
            <w:webHidden/>
          </w:rPr>
          <w:t>17</w:t>
        </w:r>
        <w:r w:rsidR="00530F4C" w:rsidRPr="00530F4C">
          <w:rPr>
            <w:rStyle w:val="Hyperlink"/>
            <w:webHidden/>
          </w:rPr>
          <w:fldChar w:fldCharType="end"/>
        </w:r>
      </w:hyperlink>
    </w:p>
    <w:p w14:paraId="11BD0BE1" w14:textId="2F3B4233" w:rsidR="00530F4C" w:rsidRPr="00530F4C" w:rsidRDefault="00000000" w:rsidP="00530F4C">
      <w:pPr>
        <w:pStyle w:val="TableofFigures"/>
        <w:tabs>
          <w:tab w:val="clear" w:pos="5007"/>
          <w:tab w:val="right" w:leader="dot" w:pos="8647"/>
        </w:tabs>
        <w:spacing w:after="120"/>
        <w:rPr>
          <w:rStyle w:val="Hyperlink"/>
        </w:rPr>
      </w:pPr>
      <w:hyperlink w:anchor="_Toc184646016" w:history="1">
        <w:r w:rsidR="00530F4C" w:rsidRPr="00530F4C">
          <w:rPr>
            <w:rStyle w:val="Hyperlink"/>
          </w:rPr>
          <w:t>Table 2: Design requirements for coarse sediment forebays and ponds.</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_Toc184646016 \h </w:instrText>
        </w:r>
        <w:r w:rsidR="00530F4C" w:rsidRPr="00530F4C">
          <w:rPr>
            <w:rStyle w:val="Hyperlink"/>
            <w:webHidden/>
          </w:rPr>
        </w:r>
        <w:r w:rsidR="00530F4C" w:rsidRPr="00530F4C">
          <w:rPr>
            <w:rStyle w:val="Hyperlink"/>
            <w:webHidden/>
          </w:rPr>
          <w:fldChar w:fldCharType="separate"/>
        </w:r>
        <w:r w:rsidR="00E228A6">
          <w:rPr>
            <w:rStyle w:val="Hyperlink"/>
            <w:webHidden/>
          </w:rPr>
          <w:t>17</w:t>
        </w:r>
        <w:r w:rsidR="00530F4C" w:rsidRPr="00530F4C">
          <w:rPr>
            <w:rStyle w:val="Hyperlink"/>
            <w:webHidden/>
          </w:rPr>
          <w:fldChar w:fldCharType="end"/>
        </w:r>
      </w:hyperlink>
    </w:p>
    <w:p w14:paraId="1C7D6067" w14:textId="101CB8D7" w:rsidR="00530F4C" w:rsidRPr="00530F4C" w:rsidRDefault="00000000" w:rsidP="00530F4C">
      <w:pPr>
        <w:pStyle w:val="TableofFigures"/>
        <w:tabs>
          <w:tab w:val="clear" w:pos="5007"/>
          <w:tab w:val="right" w:leader="dot" w:pos="8647"/>
        </w:tabs>
        <w:spacing w:after="120"/>
        <w:rPr>
          <w:rStyle w:val="Hyperlink"/>
        </w:rPr>
      </w:pPr>
      <w:hyperlink w:anchor="_Toc184646017" w:history="1">
        <w:r w:rsidR="00530F4C" w:rsidRPr="00DE4AB0">
          <w:rPr>
            <w:rStyle w:val="Hyperlink"/>
          </w:rPr>
          <w:t>Table 3: Offset distances</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_Toc184646017 \h </w:instrText>
        </w:r>
        <w:r w:rsidR="00530F4C" w:rsidRPr="00530F4C">
          <w:rPr>
            <w:rStyle w:val="Hyperlink"/>
            <w:webHidden/>
          </w:rPr>
        </w:r>
        <w:r w:rsidR="00530F4C" w:rsidRPr="00530F4C">
          <w:rPr>
            <w:rStyle w:val="Hyperlink"/>
            <w:webHidden/>
          </w:rPr>
          <w:fldChar w:fldCharType="separate"/>
        </w:r>
        <w:r w:rsidR="00E228A6">
          <w:rPr>
            <w:rStyle w:val="Hyperlink"/>
            <w:webHidden/>
          </w:rPr>
          <w:t>19</w:t>
        </w:r>
        <w:r w:rsidR="00530F4C" w:rsidRPr="00530F4C">
          <w:rPr>
            <w:rStyle w:val="Hyperlink"/>
            <w:webHidden/>
          </w:rPr>
          <w:fldChar w:fldCharType="end"/>
        </w:r>
      </w:hyperlink>
    </w:p>
    <w:p w14:paraId="10E80299" w14:textId="48CEF063" w:rsidR="00530F4C" w:rsidRPr="00530F4C" w:rsidRDefault="00000000" w:rsidP="00530F4C">
      <w:pPr>
        <w:pStyle w:val="TableofFigures"/>
        <w:tabs>
          <w:tab w:val="clear" w:pos="5007"/>
          <w:tab w:val="right" w:leader="dot" w:pos="8647"/>
        </w:tabs>
        <w:spacing w:after="120"/>
        <w:rPr>
          <w:rStyle w:val="Hyperlink"/>
        </w:rPr>
      </w:pPr>
      <w:hyperlink w:anchor="_Toc184646018" w:history="1">
        <w:r w:rsidR="00530F4C" w:rsidRPr="00DE4AB0">
          <w:rPr>
            <w:rStyle w:val="Hyperlink"/>
          </w:rPr>
          <w:t>Table 4: Typical reuse demand.</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_Toc184646018 \h </w:instrText>
        </w:r>
        <w:r w:rsidR="00530F4C" w:rsidRPr="00530F4C">
          <w:rPr>
            <w:rStyle w:val="Hyperlink"/>
            <w:webHidden/>
          </w:rPr>
        </w:r>
        <w:r w:rsidR="00530F4C" w:rsidRPr="00530F4C">
          <w:rPr>
            <w:rStyle w:val="Hyperlink"/>
            <w:webHidden/>
          </w:rPr>
          <w:fldChar w:fldCharType="separate"/>
        </w:r>
        <w:r w:rsidR="00E228A6">
          <w:rPr>
            <w:rStyle w:val="Hyperlink"/>
            <w:webHidden/>
          </w:rPr>
          <w:t>21</w:t>
        </w:r>
        <w:r w:rsidR="00530F4C" w:rsidRPr="00530F4C">
          <w:rPr>
            <w:rStyle w:val="Hyperlink"/>
            <w:webHidden/>
          </w:rPr>
          <w:fldChar w:fldCharType="end"/>
        </w:r>
      </w:hyperlink>
    </w:p>
    <w:p w14:paraId="2FB85D62" w14:textId="100188FB" w:rsidR="00530F4C" w:rsidRPr="00530F4C" w:rsidRDefault="00000000" w:rsidP="00530F4C">
      <w:pPr>
        <w:pStyle w:val="TableofFigures"/>
        <w:tabs>
          <w:tab w:val="clear" w:pos="5007"/>
          <w:tab w:val="right" w:leader="dot" w:pos="8647"/>
        </w:tabs>
        <w:spacing w:after="120"/>
        <w:rPr>
          <w:rStyle w:val="Hyperlink"/>
        </w:rPr>
      </w:pPr>
      <w:hyperlink w:anchor="_Toc184646019" w:history="1">
        <w:r w:rsidR="00530F4C" w:rsidRPr="00DE4AB0">
          <w:rPr>
            <w:rStyle w:val="Hyperlink"/>
          </w:rPr>
          <w:t>Table 5: Monthly distribution of reuse demand.</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_Toc184646019 \h </w:instrText>
        </w:r>
        <w:r w:rsidR="00530F4C" w:rsidRPr="00530F4C">
          <w:rPr>
            <w:rStyle w:val="Hyperlink"/>
            <w:webHidden/>
          </w:rPr>
        </w:r>
        <w:r w:rsidR="00530F4C" w:rsidRPr="00530F4C">
          <w:rPr>
            <w:rStyle w:val="Hyperlink"/>
            <w:webHidden/>
          </w:rPr>
          <w:fldChar w:fldCharType="separate"/>
        </w:r>
        <w:r w:rsidR="00E228A6">
          <w:rPr>
            <w:rStyle w:val="Hyperlink"/>
            <w:webHidden/>
          </w:rPr>
          <w:t>21</w:t>
        </w:r>
        <w:r w:rsidR="00530F4C" w:rsidRPr="00530F4C">
          <w:rPr>
            <w:rStyle w:val="Hyperlink"/>
            <w:webHidden/>
          </w:rPr>
          <w:fldChar w:fldCharType="end"/>
        </w:r>
      </w:hyperlink>
    </w:p>
    <w:p w14:paraId="4EE33C1D" w14:textId="1DE088F7" w:rsidR="00530F4C" w:rsidRPr="00530F4C" w:rsidRDefault="00000000" w:rsidP="00530F4C">
      <w:pPr>
        <w:pStyle w:val="TableofFigures"/>
        <w:tabs>
          <w:tab w:val="clear" w:pos="5007"/>
          <w:tab w:val="right" w:leader="dot" w:pos="8647"/>
        </w:tabs>
        <w:spacing w:after="120"/>
        <w:rPr>
          <w:rStyle w:val="Hyperlink"/>
        </w:rPr>
      </w:pPr>
      <w:hyperlink w:anchor="_Toc184646020" w:history="1">
        <w:r w:rsidR="00530F4C" w:rsidRPr="00DE4AB0">
          <w:rPr>
            <w:rStyle w:val="Hyperlink"/>
          </w:rPr>
          <w:t>Table 6: Submission Requirements and Assessment Criteria</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_Toc184646020 \h </w:instrText>
        </w:r>
        <w:r w:rsidR="00530F4C" w:rsidRPr="00530F4C">
          <w:rPr>
            <w:rStyle w:val="Hyperlink"/>
            <w:webHidden/>
          </w:rPr>
        </w:r>
        <w:r w:rsidR="00530F4C" w:rsidRPr="00530F4C">
          <w:rPr>
            <w:rStyle w:val="Hyperlink"/>
            <w:webHidden/>
          </w:rPr>
          <w:fldChar w:fldCharType="separate"/>
        </w:r>
        <w:r w:rsidR="00E228A6">
          <w:rPr>
            <w:rStyle w:val="Hyperlink"/>
            <w:webHidden/>
          </w:rPr>
          <w:t>25</w:t>
        </w:r>
        <w:r w:rsidR="00530F4C" w:rsidRPr="00530F4C">
          <w:rPr>
            <w:rStyle w:val="Hyperlink"/>
            <w:webHidden/>
          </w:rPr>
          <w:fldChar w:fldCharType="end"/>
        </w:r>
      </w:hyperlink>
    </w:p>
    <w:p w14:paraId="7E85F142" w14:textId="14030C40" w:rsidR="00530F4C" w:rsidRPr="00530F4C" w:rsidRDefault="00000000" w:rsidP="00530F4C">
      <w:pPr>
        <w:pStyle w:val="TableofFigures"/>
        <w:tabs>
          <w:tab w:val="clear" w:pos="5007"/>
          <w:tab w:val="right" w:leader="dot" w:pos="8647"/>
        </w:tabs>
        <w:spacing w:after="120"/>
        <w:rPr>
          <w:rStyle w:val="Hyperlink"/>
        </w:rPr>
      </w:pPr>
      <w:hyperlink w:anchor="_Toc184646021" w:history="1">
        <w:r w:rsidR="00530F4C" w:rsidRPr="00DE4AB0">
          <w:rPr>
            <w:rStyle w:val="Hyperlink"/>
          </w:rPr>
          <w:t>Table 7: Rainfall templates for City of Greater Geelong.</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_Toc184646021 \h </w:instrText>
        </w:r>
        <w:r w:rsidR="00530F4C" w:rsidRPr="00530F4C">
          <w:rPr>
            <w:rStyle w:val="Hyperlink"/>
            <w:webHidden/>
          </w:rPr>
        </w:r>
        <w:r w:rsidR="00530F4C" w:rsidRPr="00530F4C">
          <w:rPr>
            <w:rStyle w:val="Hyperlink"/>
            <w:webHidden/>
          </w:rPr>
          <w:fldChar w:fldCharType="separate"/>
        </w:r>
        <w:r w:rsidR="00E228A6">
          <w:rPr>
            <w:rStyle w:val="Hyperlink"/>
            <w:webHidden/>
          </w:rPr>
          <w:t>32</w:t>
        </w:r>
        <w:r w:rsidR="00530F4C" w:rsidRPr="00530F4C">
          <w:rPr>
            <w:rStyle w:val="Hyperlink"/>
            <w:webHidden/>
          </w:rPr>
          <w:fldChar w:fldCharType="end"/>
        </w:r>
      </w:hyperlink>
    </w:p>
    <w:p w14:paraId="7385712D" w14:textId="2BF0FA12" w:rsidR="00530F4C" w:rsidRPr="00530F4C" w:rsidRDefault="00000000" w:rsidP="00530F4C">
      <w:pPr>
        <w:pStyle w:val="TableofFigures"/>
        <w:tabs>
          <w:tab w:val="clear" w:pos="5007"/>
          <w:tab w:val="right" w:leader="dot" w:pos="8647"/>
        </w:tabs>
        <w:spacing w:after="120"/>
        <w:rPr>
          <w:rStyle w:val="Hyperlink"/>
        </w:rPr>
      </w:pPr>
      <w:hyperlink w:anchor="_Toc184646022" w:history="1">
        <w:r w:rsidR="00530F4C" w:rsidRPr="00DE4AB0">
          <w:rPr>
            <w:rStyle w:val="Hyperlink"/>
          </w:rPr>
          <w:t>Table 8: Criteria for when to use a bioretention.</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_Toc184646022 \h </w:instrText>
        </w:r>
        <w:r w:rsidR="00530F4C" w:rsidRPr="00530F4C">
          <w:rPr>
            <w:rStyle w:val="Hyperlink"/>
            <w:webHidden/>
          </w:rPr>
        </w:r>
        <w:r w:rsidR="00530F4C" w:rsidRPr="00530F4C">
          <w:rPr>
            <w:rStyle w:val="Hyperlink"/>
            <w:webHidden/>
          </w:rPr>
          <w:fldChar w:fldCharType="separate"/>
        </w:r>
        <w:r w:rsidR="00E228A6">
          <w:rPr>
            <w:rStyle w:val="Hyperlink"/>
            <w:webHidden/>
          </w:rPr>
          <w:t>33</w:t>
        </w:r>
        <w:r w:rsidR="00530F4C" w:rsidRPr="00530F4C">
          <w:rPr>
            <w:rStyle w:val="Hyperlink"/>
            <w:webHidden/>
          </w:rPr>
          <w:fldChar w:fldCharType="end"/>
        </w:r>
      </w:hyperlink>
    </w:p>
    <w:p w14:paraId="6153C375" w14:textId="2B895558" w:rsidR="00530F4C" w:rsidRPr="00530F4C" w:rsidRDefault="00000000" w:rsidP="00530F4C">
      <w:pPr>
        <w:pStyle w:val="TableofFigures"/>
        <w:tabs>
          <w:tab w:val="clear" w:pos="5007"/>
          <w:tab w:val="right" w:leader="dot" w:pos="8647"/>
        </w:tabs>
        <w:spacing w:after="120"/>
        <w:rPr>
          <w:rStyle w:val="Hyperlink"/>
        </w:rPr>
      </w:pPr>
      <w:hyperlink w:anchor="_Toc184646023" w:history="1">
        <w:r w:rsidR="00530F4C" w:rsidRPr="00DE4AB0">
          <w:rPr>
            <w:rStyle w:val="Hyperlink"/>
          </w:rPr>
          <w:t>Table 9: Criteria for when not to use a bioretention.</w:t>
        </w:r>
        <w:r w:rsidR="00530F4C" w:rsidRPr="00530F4C">
          <w:rPr>
            <w:rStyle w:val="Hyperlink"/>
            <w:webHidden/>
          </w:rPr>
          <w:tab/>
        </w:r>
        <w:r w:rsidR="00530F4C" w:rsidRPr="00530F4C">
          <w:rPr>
            <w:rStyle w:val="Hyperlink"/>
            <w:webHidden/>
          </w:rPr>
          <w:fldChar w:fldCharType="begin"/>
        </w:r>
        <w:r w:rsidR="00530F4C" w:rsidRPr="00530F4C">
          <w:rPr>
            <w:rStyle w:val="Hyperlink"/>
            <w:webHidden/>
          </w:rPr>
          <w:instrText xml:space="preserve"> PAGEREF _Toc184646023 \h </w:instrText>
        </w:r>
        <w:r w:rsidR="00530F4C" w:rsidRPr="00530F4C">
          <w:rPr>
            <w:rStyle w:val="Hyperlink"/>
            <w:webHidden/>
          </w:rPr>
        </w:r>
        <w:r w:rsidR="00530F4C" w:rsidRPr="00530F4C">
          <w:rPr>
            <w:rStyle w:val="Hyperlink"/>
            <w:webHidden/>
          </w:rPr>
          <w:fldChar w:fldCharType="separate"/>
        </w:r>
        <w:r w:rsidR="00E228A6">
          <w:rPr>
            <w:rStyle w:val="Hyperlink"/>
            <w:webHidden/>
          </w:rPr>
          <w:t>34</w:t>
        </w:r>
        <w:r w:rsidR="00530F4C" w:rsidRPr="00530F4C">
          <w:rPr>
            <w:rStyle w:val="Hyperlink"/>
            <w:webHidden/>
          </w:rPr>
          <w:fldChar w:fldCharType="end"/>
        </w:r>
      </w:hyperlink>
    </w:p>
    <w:p w14:paraId="15C26B38" w14:textId="657E3FEF" w:rsidR="00FD3222" w:rsidRPr="00C865D0" w:rsidRDefault="006D63E0" w:rsidP="00C865D0">
      <w:pPr>
        <w:pStyle w:val="TableofFigures"/>
        <w:tabs>
          <w:tab w:val="clear" w:pos="5007"/>
          <w:tab w:val="right" w:leader="dot" w:pos="8647"/>
        </w:tabs>
        <w:spacing w:after="120"/>
        <w:rPr>
          <w:rStyle w:val="Hyperlink"/>
        </w:rPr>
        <w:sectPr w:rsidR="00FD3222" w:rsidRPr="00C865D0" w:rsidSect="00FD3222">
          <w:type w:val="continuous"/>
          <w:pgSz w:w="11907" w:h="16840" w:code="9"/>
          <w:pgMar w:top="1588" w:right="1588" w:bottom="1588" w:left="1588" w:header="567" w:footer="340" w:gutter="0"/>
          <w:cols w:space="284"/>
          <w:docGrid w:linePitch="360"/>
        </w:sectPr>
      </w:pPr>
      <w:r w:rsidRPr="00C865D0">
        <w:rPr>
          <w:rStyle w:val="Hyperlink"/>
        </w:rPr>
        <w:fldChar w:fldCharType="end"/>
      </w:r>
    </w:p>
    <w:p w14:paraId="5E981012" w14:textId="77777777" w:rsidR="00D42E0F" w:rsidRPr="00C865D0" w:rsidRDefault="00D42E0F" w:rsidP="00C865D0">
      <w:pPr>
        <w:pStyle w:val="TableofFigures"/>
        <w:tabs>
          <w:tab w:val="clear" w:pos="5007"/>
          <w:tab w:val="right" w:leader="dot" w:pos="8647"/>
        </w:tabs>
        <w:spacing w:after="120"/>
        <w:rPr>
          <w:rStyle w:val="Hyperlink"/>
        </w:rPr>
        <w:sectPr w:rsidR="00D42E0F" w:rsidRPr="00C865D0" w:rsidSect="00FD3222">
          <w:type w:val="continuous"/>
          <w:pgSz w:w="11907" w:h="16840" w:code="9"/>
          <w:pgMar w:top="1588" w:right="1588" w:bottom="1588" w:left="1588" w:header="567" w:footer="340" w:gutter="0"/>
          <w:cols w:num="2" w:space="284"/>
          <w:docGrid w:linePitch="360"/>
        </w:sectPr>
      </w:pPr>
    </w:p>
    <w:p w14:paraId="0AAD5C62" w14:textId="655114B6" w:rsidR="002A7D53" w:rsidRPr="00ED0909" w:rsidRDefault="00AE688C" w:rsidP="006843BB">
      <w:pPr>
        <w:pStyle w:val="Heading1"/>
        <w:framePr w:wrap="around"/>
        <w:ind w:left="567" w:right="681"/>
      </w:pPr>
      <w:bookmarkStart w:id="0" w:name="_Toc184645951"/>
      <w:r>
        <w:lastRenderedPageBreak/>
        <w:t>1.0</w:t>
      </w:r>
      <w:r w:rsidR="00C865D0">
        <w:tab/>
      </w:r>
      <w:r w:rsidR="005B190C">
        <w:t>Introduction</w:t>
      </w:r>
      <w:bookmarkEnd w:id="0"/>
    </w:p>
    <w:p w14:paraId="37BDC6E9" w14:textId="77777777" w:rsidR="005B190C" w:rsidRDefault="005B190C" w:rsidP="005B190C">
      <w:pPr>
        <w:jc w:val="both"/>
        <w:sectPr w:rsidR="005B190C" w:rsidSect="0086353C">
          <w:pgSz w:w="11907" w:h="16840" w:code="9"/>
          <w:pgMar w:top="1588" w:right="1588" w:bottom="1588" w:left="1588" w:header="567" w:footer="340" w:gutter="0"/>
          <w:cols w:num="2" w:space="284"/>
          <w:docGrid w:linePitch="360"/>
        </w:sectPr>
      </w:pPr>
    </w:p>
    <w:p w14:paraId="0684B20A" w14:textId="54B006EC" w:rsidR="005B190C" w:rsidRPr="00AB496D" w:rsidRDefault="005B190C" w:rsidP="008451CA">
      <w:pPr>
        <w:pStyle w:val="BodyText"/>
      </w:pPr>
      <w:r>
        <w:t xml:space="preserve">This </w:t>
      </w:r>
      <w:r w:rsidR="00356B4A">
        <w:t>Design Note 3 guideline</w:t>
      </w:r>
      <w:r>
        <w:t xml:space="preserve"> sets out the preferred approach for MUSIC modelling with the City of Greater Geelong (the City). It provides information for developers, consultants and reviewers on the </w:t>
      </w:r>
      <w:r w:rsidRPr="00AB496D">
        <w:t xml:space="preserve">use of the MUSIC software. </w:t>
      </w:r>
    </w:p>
    <w:p w14:paraId="0894A6F3" w14:textId="30148206" w:rsidR="00356B4A" w:rsidRDefault="0089036E" w:rsidP="00356B4A">
      <w:pPr>
        <w:pStyle w:val="BodyText"/>
      </w:pPr>
      <w:r w:rsidRPr="00AB496D">
        <w:t xml:space="preserve">As a general approach, the MUSIC modelling approaches should follow Melbourne Water MUSIC guidelines for </w:t>
      </w:r>
      <w:r w:rsidRPr="00AB496D">
        <w:rPr>
          <w:i/>
        </w:rPr>
        <w:t>MUSIC (Model for Urban Stormwater Improvement Conceptualisation) Guideline</w:t>
      </w:r>
      <w:r w:rsidRPr="00AB496D">
        <w:t xml:space="preserve">, published online by Melbourne Water in 2024 (as revised). </w:t>
      </w:r>
      <w:r w:rsidR="00AB496D" w:rsidRPr="00AB496D">
        <w:t>Design Note 3</w:t>
      </w:r>
      <w:r w:rsidR="005B190C" w:rsidRPr="00AB496D">
        <w:t xml:space="preserve"> </w:t>
      </w:r>
      <w:r w:rsidR="00382098" w:rsidRPr="00AB496D">
        <w:t>highlight</w:t>
      </w:r>
      <w:r w:rsidR="00356B4A" w:rsidRPr="00AB496D">
        <w:t>s specific information, advice, and parameters that</w:t>
      </w:r>
      <w:r w:rsidR="00382098" w:rsidRPr="00AB496D">
        <w:t xml:space="preserve"> differ from the Melbourne Water MUSIC guidelines</w:t>
      </w:r>
      <w:r w:rsidR="005B190C" w:rsidRPr="00AB496D">
        <w:t xml:space="preserve">. </w:t>
      </w:r>
      <w:r w:rsidR="00382098" w:rsidRPr="00AB496D">
        <w:t xml:space="preserve"> </w:t>
      </w:r>
      <w:r w:rsidR="00356B4A" w:rsidRPr="00AB496D">
        <w:t>It also includes appropriate climate data and input parameters to adopt for stormwater treatment and reuse</w:t>
      </w:r>
      <w:r w:rsidR="00356B4A">
        <w:t xml:space="preserve"> systems within the City. Specific submission requirements are provided in Chapter 9 of this document.</w:t>
      </w:r>
    </w:p>
    <w:p w14:paraId="6CA7C0E3" w14:textId="37853338" w:rsidR="005B190C" w:rsidRDefault="005B190C" w:rsidP="008451CA">
      <w:pPr>
        <w:pStyle w:val="BodyText"/>
      </w:pPr>
      <w:r w:rsidRPr="00D92F24">
        <w:t>Th</w:t>
      </w:r>
      <w:r w:rsidR="0089036E">
        <w:t>is</w:t>
      </w:r>
      <w:r w:rsidRPr="00D92F24">
        <w:t xml:space="preserve"> guideline w</w:t>
      </w:r>
      <w:r w:rsidR="0089036E">
        <w:t>as originally</w:t>
      </w:r>
      <w:r w:rsidRPr="00D92F24">
        <w:t xml:space="preserve"> developed by the City in consultation with E2Designlab.</w:t>
      </w:r>
    </w:p>
    <w:p w14:paraId="7A9FB6CD" w14:textId="77777777" w:rsidR="00F66651" w:rsidRDefault="00F66651" w:rsidP="008451CA">
      <w:pPr>
        <w:pStyle w:val="BodyText"/>
      </w:pPr>
    </w:p>
    <w:p w14:paraId="5C34DDDE" w14:textId="445AE231" w:rsidR="00F66651" w:rsidRDefault="00C865D0" w:rsidP="00C865D0">
      <w:pPr>
        <w:pStyle w:val="Heading2"/>
      </w:pPr>
      <w:bookmarkStart w:id="1" w:name="_Toc184645952"/>
      <w:r>
        <w:t>1.1</w:t>
      </w:r>
      <w:r>
        <w:tab/>
      </w:r>
      <w:r w:rsidR="00F66651">
        <w:t>Purpose of document</w:t>
      </w:r>
      <w:bookmarkEnd w:id="1"/>
    </w:p>
    <w:p w14:paraId="7330702D" w14:textId="39EF7EF3" w:rsidR="00F66651" w:rsidRDefault="00F66651" w:rsidP="00F66651">
      <w:pPr>
        <w:jc w:val="both"/>
      </w:pPr>
      <w:r>
        <w:t xml:space="preserve">This document provides guidance on modelling approaches and input parameters for MUSIC models that are submitted to the City. The MUSIC user manual is also useful for building a model and can be accessed from the eWater website or from MUSIC </w:t>
      </w:r>
      <w:r w:rsidR="00D92F24" w:rsidRPr="00D92F24">
        <w:rPr>
          <w:rStyle w:val="Hyperlink"/>
        </w:rPr>
        <w:t>https://ewater.atlassian.net/wiki/spaces</w:t>
      </w:r>
      <w:r w:rsidR="00D92F24">
        <w:rPr>
          <w:rStyle w:val="Hyperlink"/>
        </w:rPr>
        <w:t>.</w:t>
      </w:r>
    </w:p>
    <w:p w14:paraId="244C6915" w14:textId="77777777" w:rsidR="00F66651" w:rsidRDefault="00F66651" w:rsidP="00F66651">
      <w:pPr>
        <w:pStyle w:val="BodyText"/>
      </w:pPr>
      <w:r>
        <w:t>Users are expected to have an understanding of water sensitive urban design (WSUD) principles, along with knowledge and training in the use of the MUSIC software.</w:t>
      </w:r>
    </w:p>
    <w:p w14:paraId="2268127D" w14:textId="77777777" w:rsidR="00F66651" w:rsidRPr="00AB496D" w:rsidRDefault="00F66651" w:rsidP="00F66651">
      <w:pPr>
        <w:pStyle w:val="BodyText"/>
      </w:pPr>
      <w:r w:rsidRPr="00AB496D">
        <w:t>This document is a modelling guideline, and should be read in conjunction with appropriate design guidelines (as updated) including:</w:t>
      </w:r>
    </w:p>
    <w:p w14:paraId="6D12C724" w14:textId="190F5FE7" w:rsidR="00751466" w:rsidRPr="00AB496D" w:rsidRDefault="00751466" w:rsidP="00F66651">
      <w:pPr>
        <w:pStyle w:val="ListBullet"/>
      </w:pPr>
      <w:r w:rsidRPr="00AB496D">
        <w:rPr>
          <w:iCs/>
        </w:rPr>
        <w:t>MUSIC Guideline</w:t>
      </w:r>
      <w:r w:rsidRPr="00AB496D">
        <w:t>, (Melbourne Water</w:t>
      </w:r>
      <w:r w:rsidR="00141245" w:rsidRPr="00AB496D">
        <w:t>,</w:t>
      </w:r>
      <w:r w:rsidRPr="00AB496D">
        <w:t xml:space="preserve"> 2024)</w:t>
      </w:r>
    </w:p>
    <w:p w14:paraId="0D9A004F" w14:textId="28D0CB44" w:rsidR="00F66651" w:rsidRDefault="00000000" w:rsidP="00F66651">
      <w:pPr>
        <w:pStyle w:val="ListBullet"/>
      </w:pPr>
      <w:hyperlink r:id="rId15" w:history="1">
        <w:r w:rsidR="00F66651" w:rsidRPr="004729AA">
          <w:t>WSUD Engineering Procedures: Stormwater</w:t>
        </w:r>
      </w:hyperlink>
      <w:r w:rsidR="00F66651">
        <w:t xml:space="preserve"> (Melbourne Water, 2005) </w:t>
      </w:r>
    </w:p>
    <w:p w14:paraId="680A8155" w14:textId="2495F386" w:rsidR="00F66651" w:rsidRDefault="00000000" w:rsidP="00F66651">
      <w:pPr>
        <w:pStyle w:val="ListBullet"/>
      </w:pPr>
      <w:hyperlink r:id="rId16" w:history="1">
        <w:r w:rsidR="00F66651" w:rsidRPr="004729AA">
          <w:t>Melbourne Water Constructed Wetlands Design Manual</w:t>
        </w:r>
      </w:hyperlink>
      <w:r w:rsidR="00F66651">
        <w:t xml:space="preserve"> (Melbourne Water</w:t>
      </w:r>
      <w:r w:rsidR="00F66651" w:rsidRPr="00D92F24">
        <w:t>, 20</w:t>
      </w:r>
      <w:r w:rsidR="00D92F24" w:rsidRPr="00D92F24">
        <w:t>20</w:t>
      </w:r>
      <w:r w:rsidR="00F66651" w:rsidRPr="00D92F24">
        <w:t>)</w:t>
      </w:r>
      <w:r w:rsidR="00F66651">
        <w:t xml:space="preserve"> </w:t>
      </w:r>
    </w:p>
    <w:p w14:paraId="76108147" w14:textId="2ED3F883" w:rsidR="00F66651" w:rsidRPr="00D92F24" w:rsidRDefault="00404275" w:rsidP="00F66651">
      <w:pPr>
        <w:pStyle w:val="ListBullet"/>
      </w:pPr>
      <w:r>
        <w:t xml:space="preserve">Biofiltration Systems in Development </w:t>
      </w:r>
      <w:r w:rsidRPr="00D92F24">
        <w:t>Services Schemes Guideline</w:t>
      </w:r>
      <w:r w:rsidR="00F66651" w:rsidRPr="00D92F24">
        <w:t xml:space="preserve"> (Melbourne Water, </w:t>
      </w:r>
      <w:r w:rsidRPr="00D92F24">
        <w:t>2020</w:t>
      </w:r>
      <w:r w:rsidR="00F66651" w:rsidRPr="00D92F24">
        <w:t>)</w:t>
      </w:r>
    </w:p>
    <w:p w14:paraId="723C741B" w14:textId="6670E2CD" w:rsidR="00F66651" w:rsidRPr="00D92F24" w:rsidRDefault="00000000" w:rsidP="00F66651">
      <w:pPr>
        <w:pStyle w:val="ListBullet"/>
      </w:pPr>
      <w:hyperlink r:id="rId17" w:history="1">
        <w:r w:rsidR="00F66651" w:rsidRPr="00D92F24">
          <w:t>Infrastructure Design Manual</w:t>
        </w:r>
      </w:hyperlink>
      <w:r w:rsidR="00F66651" w:rsidRPr="00D92F24">
        <w:t xml:space="preserve"> (IDM, 20</w:t>
      </w:r>
      <w:r w:rsidR="00D92F24" w:rsidRPr="00D92F24">
        <w:t>22</w:t>
      </w:r>
      <w:r w:rsidR="00F66651" w:rsidRPr="00D92F24">
        <w:t>)</w:t>
      </w:r>
    </w:p>
    <w:p w14:paraId="143F1EA1" w14:textId="77777777" w:rsidR="00F66651" w:rsidRPr="00D92F24" w:rsidRDefault="00F66651" w:rsidP="00F66651">
      <w:pPr>
        <w:pStyle w:val="ListBullet"/>
      </w:pPr>
      <w:r w:rsidRPr="00D92F24">
        <w:t>Adoption Guidelines for Stormwater Biofiltration Systems (CRCWSC, 2015)</w:t>
      </w:r>
    </w:p>
    <w:p w14:paraId="5486D2D7" w14:textId="77777777" w:rsidR="00F66651" w:rsidRPr="00F66651" w:rsidRDefault="00F66651" w:rsidP="008451CA">
      <w:pPr>
        <w:pStyle w:val="BodyText"/>
        <w:spacing w:before="240"/>
        <w:sectPr w:rsidR="00F66651" w:rsidRPr="00F66651" w:rsidSect="0086353C">
          <w:type w:val="continuous"/>
          <w:pgSz w:w="11907" w:h="16840" w:code="9"/>
          <w:pgMar w:top="1588" w:right="1588" w:bottom="1588" w:left="1588" w:header="567" w:footer="340" w:gutter="0"/>
          <w:cols w:space="284"/>
          <w:docGrid w:linePitch="360"/>
        </w:sectPr>
      </w:pPr>
      <w:r w:rsidRPr="00D92F24">
        <w:t>MUSIC helps in understanding</w:t>
      </w:r>
      <w:r>
        <w:t xml:space="preserve"> potential stormwater pollutant removal for WSUD infrastructure designs, but this needs to be supported with confirmation of other design aspects as outlined in the above documents. MUSIC is not suitable for validating drainage design. Other requirements are outlined in the above documents.</w:t>
      </w:r>
    </w:p>
    <w:p w14:paraId="53535F77" w14:textId="77777777" w:rsidR="000D1087" w:rsidRDefault="000D1087" w:rsidP="005B190C">
      <w:pPr>
        <w:pStyle w:val="Introduction"/>
      </w:pPr>
    </w:p>
    <w:p w14:paraId="40823E82" w14:textId="77777777" w:rsidR="00CF26D8" w:rsidRDefault="00CF26D8">
      <w:pPr>
        <w:spacing w:line="260" w:lineRule="atLeast"/>
      </w:pPr>
      <w:r>
        <w:br w:type="page"/>
      </w:r>
    </w:p>
    <w:p w14:paraId="5FA4D8BE" w14:textId="7DF00A08" w:rsidR="005B190C" w:rsidRDefault="00AE688C" w:rsidP="006843BB">
      <w:pPr>
        <w:pStyle w:val="Heading1"/>
        <w:framePr w:wrap="around"/>
        <w:ind w:left="567" w:right="681"/>
      </w:pPr>
      <w:bookmarkStart w:id="2" w:name="_Toc184645953"/>
      <w:r>
        <w:lastRenderedPageBreak/>
        <w:t>2.0</w:t>
      </w:r>
      <w:r w:rsidR="00356B4A">
        <w:tab/>
      </w:r>
      <w:r w:rsidR="00F66651">
        <w:t>Climate D</w:t>
      </w:r>
      <w:r w:rsidR="00CF26D8">
        <w:t>ata</w:t>
      </w:r>
      <w:bookmarkEnd w:id="2"/>
    </w:p>
    <w:p w14:paraId="521BD0DB" w14:textId="77777777" w:rsidR="00CF26D8" w:rsidRDefault="00CF26D8" w:rsidP="00CF26D8">
      <w:r>
        <w:t>For stormwater treatment modelling using MUSIC, a meteorological data template is required based on rainfall and potential evapotranspiration data.</w:t>
      </w:r>
    </w:p>
    <w:p w14:paraId="1028479D" w14:textId="77777777" w:rsidR="008451CA" w:rsidRDefault="008451CA" w:rsidP="00CF26D8"/>
    <w:p w14:paraId="745014A5" w14:textId="77777777" w:rsidR="00CF26D8" w:rsidRDefault="00CF26D8" w:rsidP="00CF26D8">
      <w:r>
        <w:t>It is recommended the following minimum periods are used:</w:t>
      </w:r>
    </w:p>
    <w:p w14:paraId="3F34EA23" w14:textId="77777777" w:rsidR="00CF26D8" w:rsidRDefault="00CF26D8" w:rsidP="00CF26D8">
      <w:pPr>
        <w:pStyle w:val="ListBullet"/>
      </w:pPr>
      <w:r>
        <w:t>10 years for WSUD treatment performance and small-scale systems.</w:t>
      </w:r>
    </w:p>
    <w:p w14:paraId="6C0725A4" w14:textId="77777777" w:rsidR="00CF26D8" w:rsidRDefault="00CF26D8" w:rsidP="00CF26D8">
      <w:pPr>
        <w:pStyle w:val="ListBullet"/>
      </w:pPr>
      <w:r>
        <w:t>20 years for stormwater harvesting, large scale integrated water management plans and strategies (&gt;100 ha) and catchments with an impervious fraction &lt; 20% or where pervious flows are substantial.</w:t>
      </w:r>
    </w:p>
    <w:p w14:paraId="693BF81E" w14:textId="6E5E229D" w:rsidR="00CF26D8" w:rsidRDefault="00CF26D8" w:rsidP="008451CA">
      <w:pPr>
        <w:spacing w:before="240"/>
      </w:pPr>
      <w:r>
        <w:t xml:space="preserve">Two rainfall regions were identified for the City. Areas with rainfall less than 500 mm annually were designated “Little River” and those with rainfall greater than 500 mm annually were designated “Geelong North” to coincide with the Bureau of Meteorology (BOM) station names. The rainfall regions are shown in </w:t>
      </w:r>
      <w:r>
        <w:fldChar w:fldCharType="begin"/>
      </w:r>
      <w:r>
        <w:instrText xml:space="preserve"> REF _Ref21526261 \h </w:instrText>
      </w:r>
      <w:r>
        <w:fldChar w:fldCharType="separate"/>
      </w:r>
      <w:r w:rsidR="00E228A6">
        <w:t xml:space="preserve">Figure </w:t>
      </w:r>
      <w:r w:rsidR="00E228A6">
        <w:rPr>
          <w:noProof/>
        </w:rPr>
        <w:t>1</w:t>
      </w:r>
      <w:r>
        <w:fldChar w:fldCharType="end"/>
      </w:r>
      <w:r>
        <w:t xml:space="preserve">. </w:t>
      </w:r>
    </w:p>
    <w:p w14:paraId="3CAA7456" w14:textId="77777777" w:rsidR="00CF26D8" w:rsidRDefault="00CF26D8" w:rsidP="00CF26D8"/>
    <w:p w14:paraId="723DCE1F" w14:textId="77777777" w:rsidR="00CF26D8" w:rsidRDefault="00CF26D8" w:rsidP="00CF26D8">
      <w:pPr>
        <w:keepNext/>
        <w:jc w:val="center"/>
      </w:pPr>
      <w:r>
        <w:rPr>
          <w:noProof/>
        </w:rPr>
        <w:drawing>
          <wp:inline distT="0" distB="0" distL="0" distR="0" wp14:anchorId="32FE8DBA" wp14:editId="6A8FDCC1">
            <wp:extent cx="5267049" cy="3781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01"/>
                    <a:stretch/>
                  </pic:blipFill>
                  <pic:spPr bwMode="auto">
                    <a:xfrm>
                      <a:off x="0" y="0"/>
                      <a:ext cx="5269088" cy="3782889"/>
                    </a:xfrm>
                    <a:prstGeom prst="rect">
                      <a:avLst/>
                    </a:prstGeom>
                    <a:ln>
                      <a:noFill/>
                    </a:ln>
                    <a:extLst>
                      <a:ext uri="{53640926-AAD7-44D8-BBD7-CCE9431645EC}">
                        <a14:shadowObscured xmlns:a14="http://schemas.microsoft.com/office/drawing/2010/main"/>
                      </a:ext>
                    </a:extLst>
                  </pic:spPr>
                </pic:pic>
              </a:graphicData>
            </a:graphic>
          </wp:inline>
        </w:drawing>
      </w:r>
    </w:p>
    <w:p w14:paraId="48197505" w14:textId="29514597" w:rsidR="00CF26D8" w:rsidRDefault="00CF26D8" w:rsidP="00CF26D8">
      <w:pPr>
        <w:pStyle w:val="Caption"/>
        <w:jc w:val="center"/>
      </w:pPr>
      <w:bookmarkStart w:id="3" w:name="_Ref21526261"/>
      <w:bookmarkStart w:id="4" w:name="_Toc184645979"/>
      <w:r>
        <w:t xml:space="preserve">Figure </w:t>
      </w:r>
      <w:r w:rsidR="006D63E0">
        <w:rPr>
          <w:noProof/>
        </w:rPr>
        <w:fldChar w:fldCharType="begin"/>
      </w:r>
      <w:r w:rsidR="006D63E0">
        <w:rPr>
          <w:noProof/>
        </w:rPr>
        <w:instrText xml:space="preserve"> SEQ Figure \* ARABIC </w:instrText>
      </w:r>
      <w:r w:rsidR="006D63E0">
        <w:rPr>
          <w:noProof/>
        </w:rPr>
        <w:fldChar w:fldCharType="separate"/>
      </w:r>
      <w:r w:rsidR="00E228A6">
        <w:rPr>
          <w:noProof/>
        </w:rPr>
        <w:t>1</w:t>
      </w:r>
      <w:r w:rsidR="006D63E0">
        <w:rPr>
          <w:noProof/>
        </w:rPr>
        <w:fldChar w:fldCharType="end"/>
      </w:r>
      <w:bookmarkEnd w:id="3"/>
      <w:r>
        <w:t>: Rainfall region boundaries determined for Greater Geelong</w:t>
      </w:r>
      <w:bookmarkEnd w:id="4"/>
    </w:p>
    <w:p w14:paraId="13AB211A" w14:textId="77777777" w:rsidR="00CF26D8" w:rsidRPr="00CF26D8" w:rsidRDefault="00CF26D8" w:rsidP="00CF26D8">
      <w:pPr>
        <w:pStyle w:val="BodyText"/>
        <w:rPr>
          <w:b/>
          <w:i/>
          <w:color w:val="003263" w:themeColor="text2"/>
        </w:rPr>
      </w:pPr>
      <w:r w:rsidRPr="00CF26D8">
        <w:rPr>
          <w:b/>
          <w:i/>
          <w:color w:val="003263" w:themeColor="text2"/>
        </w:rPr>
        <w:t>Modelling timestep</w:t>
      </w:r>
    </w:p>
    <w:p w14:paraId="2721A595" w14:textId="77777777" w:rsidR="00CF26D8" w:rsidRDefault="00CF26D8" w:rsidP="00CF26D8">
      <w:r>
        <w:t>The modelling timestep should be less than:</w:t>
      </w:r>
    </w:p>
    <w:p w14:paraId="50DA1560" w14:textId="77777777" w:rsidR="00CF26D8" w:rsidRDefault="00CF26D8" w:rsidP="00CF26D8">
      <w:pPr>
        <w:pStyle w:val="ListBullet"/>
      </w:pPr>
      <w:r>
        <w:t>The shortest time of concentration.</w:t>
      </w:r>
    </w:p>
    <w:p w14:paraId="5972F251" w14:textId="77777777" w:rsidR="00CF26D8" w:rsidRDefault="00CF26D8" w:rsidP="00CF26D8">
      <w:pPr>
        <w:pStyle w:val="ListBullet"/>
      </w:pPr>
      <w:r>
        <w:t>The shortest treatment detention time under design flows.</w:t>
      </w:r>
    </w:p>
    <w:p w14:paraId="29C70397" w14:textId="1A1C801C" w:rsidR="00CF26D8" w:rsidRDefault="00CF26D8" w:rsidP="008451CA">
      <w:pPr>
        <w:spacing w:before="240"/>
      </w:pPr>
      <w:r>
        <w:lastRenderedPageBreak/>
        <w:t>For the City, all models should be run at a 6</w:t>
      </w:r>
      <w:r w:rsidR="002D090E">
        <w:t>-</w:t>
      </w:r>
      <w:r>
        <w:t>minute modelling timestep. The use of larger timesteps reduces model accuracy and can increase the variability of results while allowing it to run faster. There is little justification for using larger timesteps for most practical modelling purposes with modern computers. Where a different timestep is proposed, it must be agreed in writing by the City and comply with the above requirements.</w:t>
      </w:r>
    </w:p>
    <w:p w14:paraId="52E17C7D" w14:textId="77777777" w:rsidR="00CF26D8" w:rsidRDefault="00CF26D8" w:rsidP="00CF26D8"/>
    <w:p w14:paraId="2F71AFF0" w14:textId="77777777" w:rsidR="008451CA" w:rsidRDefault="008451CA">
      <w:pPr>
        <w:spacing w:line="260" w:lineRule="atLeast"/>
        <w:rPr>
          <w:b/>
          <w:i/>
          <w:color w:val="003263" w:themeColor="text2"/>
        </w:rPr>
      </w:pPr>
    </w:p>
    <w:p w14:paraId="37774C93" w14:textId="77777777" w:rsidR="00CF26D8" w:rsidRPr="00CF26D8" w:rsidRDefault="00CF26D8" w:rsidP="00CF26D8">
      <w:pPr>
        <w:pStyle w:val="BodyText"/>
        <w:rPr>
          <w:b/>
          <w:i/>
          <w:color w:val="003263" w:themeColor="text2"/>
        </w:rPr>
      </w:pPr>
      <w:r w:rsidRPr="00CF26D8">
        <w:rPr>
          <w:b/>
          <w:i/>
          <w:color w:val="003263" w:themeColor="text2"/>
        </w:rPr>
        <w:t>Climate templates</w:t>
      </w:r>
    </w:p>
    <w:p w14:paraId="76C17AB1" w14:textId="77777777" w:rsidR="00E05B45" w:rsidRDefault="00CF26D8" w:rsidP="00CF26D8">
      <w:r>
        <w:t>The climate templates are available for download from the City</w:t>
      </w:r>
      <w:r w:rsidR="00E05B45">
        <w:t>’s</w:t>
      </w:r>
      <w:r>
        <w:t xml:space="preserve"> website</w:t>
      </w:r>
      <w:r w:rsidR="00E05B45">
        <w:t xml:space="preserve"> </w:t>
      </w:r>
      <w:hyperlink r:id="rId19" w:history="1">
        <w:r w:rsidR="00E05B45" w:rsidRPr="00834FDA">
          <w:rPr>
            <w:rStyle w:val="Hyperlink"/>
          </w:rPr>
          <w:t>https://www.geelongaustralia.com.au/stormwater/documents/item/8d70ad1c7ad1e12.aspx</w:t>
        </w:r>
      </w:hyperlink>
      <w:r w:rsidR="00E05B45">
        <w:t xml:space="preserve">. </w:t>
      </w:r>
      <w:r>
        <w:t xml:space="preserve"> </w:t>
      </w:r>
    </w:p>
    <w:p w14:paraId="778CC997" w14:textId="77777777" w:rsidR="00E05B45" w:rsidRDefault="00E05B45" w:rsidP="00CF26D8"/>
    <w:p w14:paraId="6F1E9845" w14:textId="77777777" w:rsidR="00CF26D8" w:rsidRDefault="00CF26D8" w:rsidP="00CF26D8">
      <w:r>
        <w:t>The filenames are as follows:</w:t>
      </w:r>
    </w:p>
    <w:p w14:paraId="03C476FF" w14:textId="77777777" w:rsidR="00CF26D8" w:rsidRDefault="00E05B45" w:rsidP="00CF26D8">
      <w:pPr>
        <w:pStyle w:val="ListBullet"/>
      </w:pPr>
      <w:r>
        <w:t>10year_</w:t>
      </w:r>
      <w:r w:rsidR="00CF26D8" w:rsidRPr="00B16E68">
        <w:t>GeelongNorth_1971-1980_6min_</w:t>
      </w:r>
      <w:r>
        <w:t>mlb</w:t>
      </w:r>
    </w:p>
    <w:p w14:paraId="2315C5B8" w14:textId="77777777" w:rsidR="00E05B45" w:rsidRDefault="00E05B45" w:rsidP="00E05B45">
      <w:pPr>
        <w:pStyle w:val="ListBullet"/>
      </w:pPr>
      <w:r>
        <w:t>10year_</w:t>
      </w:r>
      <w:r w:rsidRPr="00B16E68">
        <w:t>GeelongNorth_1971-1980_6min_</w:t>
      </w:r>
      <w:r>
        <w:t>sqz</w:t>
      </w:r>
    </w:p>
    <w:p w14:paraId="154ED659" w14:textId="77777777" w:rsidR="00CF26D8" w:rsidRDefault="00E05B45" w:rsidP="00CF26D8">
      <w:pPr>
        <w:pStyle w:val="ListBullet"/>
      </w:pPr>
      <w:r>
        <w:t>20</w:t>
      </w:r>
      <w:r w:rsidR="00CF26D8">
        <w:t>year</w:t>
      </w:r>
      <w:r>
        <w:t>_</w:t>
      </w:r>
      <w:r w:rsidR="00CF26D8">
        <w:t>GeelongNorth</w:t>
      </w:r>
      <w:r>
        <w:t>_1971-1990_6min_mlb</w:t>
      </w:r>
    </w:p>
    <w:p w14:paraId="0C81D825" w14:textId="77777777" w:rsidR="00E05B45" w:rsidRDefault="00E05B45" w:rsidP="00E05B45">
      <w:pPr>
        <w:pStyle w:val="ListBullet"/>
      </w:pPr>
      <w:r>
        <w:t>20year_GeelongNorth_1971-1990_6min_sqz</w:t>
      </w:r>
    </w:p>
    <w:p w14:paraId="6C4DC5AD" w14:textId="77777777" w:rsidR="00CF26D8" w:rsidRDefault="00E05B45" w:rsidP="00CF26D8">
      <w:pPr>
        <w:pStyle w:val="ListBullet"/>
      </w:pPr>
      <w:r>
        <w:t>10year_Little</w:t>
      </w:r>
      <w:r w:rsidR="00CF26D8">
        <w:t>River</w:t>
      </w:r>
      <w:r>
        <w:t>_1992-2001_6min_mlb</w:t>
      </w:r>
    </w:p>
    <w:p w14:paraId="7EA56D90" w14:textId="77777777" w:rsidR="00E05B45" w:rsidRDefault="00E05B45" w:rsidP="00E05B45">
      <w:pPr>
        <w:pStyle w:val="ListBullet"/>
      </w:pPr>
      <w:r>
        <w:t>10year_LittleRiver_1992-2001_6min_sqz</w:t>
      </w:r>
    </w:p>
    <w:p w14:paraId="2B6926EC" w14:textId="77777777" w:rsidR="00CF26D8" w:rsidRDefault="00E05B45" w:rsidP="00CF26D8">
      <w:pPr>
        <w:pStyle w:val="ListBullet"/>
      </w:pPr>
      <w:r>
        <w:t>20year_Little</w:t>
      </w:r>
      <w:r w:rsidR="00CF26D8">
        <w:t>River</w:t>
      </w:r>
      <w:r>
        <w:t>_1989-2008_6min_mlb</w:t>
      </w:r>
    </w:p>
    <w:p w14:paraId="7C06FE14" w14:textId="77777777" w:rsidR="00E05B45" w:rsidRDefault="00E05B45" w:rsidP="00E05B45">
      <w:pPr>
        <w:pStyle w:val="ListBullet"/>
      </w:pPr>
      <w:r>
        <w:t>20year_LittleRiver_1989-2008_6min_sqz</w:t>
      </w:r>
    </w:p>
    <w:p w14:paraId="334E3702" w14:textId="77777777" w:rsidR="00676CC2" w:rsidRPr="00676CC2" w:rsidRDefault="00CF26D8" w:rsidP="008451CA">
      <w:pPr>
        <w:pStyle w:val="BodyText"/>
        <w:spacing w:before="240"/>
        <w:rPr>
          <w:i/>
          <w:u w:val="single"/>
        </w:rPr>
      </w:pPr>
      <w:r>
        <w:t xml:space="preserve">The user should select the appropriate template for the project location and type of analysis. </w:t>
      </w:r>
      <w:r w:rsidRPr="00676CC2">
        <w:rPr>
          <w:i/>
          <w:u w:val="single"/>
        </w:rPr>
        <w:t>Note that as the templates have been infilled to improve quality, they cannot be reproduced by creating a template directly from the raw data.</w:t>
      </w:r>
    </w:p>
    <w:p w14:paraId="5AA11760" w14:textId="77777777" w:rsidR="00CF26D8" w:rsidRDefault="00CF26D8" w:rsidP="00676CC2">
      <w:pPr>
        <w:jc w:val="both"/>
      </w:pPr>
      <w:r>
        <w:t>Where an alternative climate template is proposed to be adopted, it must be based on a similarly rigorous approach as that used to determine the above (see Appendix B) and its use is subject to agreement in writing by the City.</w:t>
      </w:r>
    </w:p>
    <w:p w14:paraId="710A9AEF" w14:textId="77777777" w:rsidR="00E113DC" w:rsidRDefault="00E113DC" w:rsidP="00CF26D8"/>
    <w:p w14:paraId="14E44E20" w14:textId="33D02431" w:rsidR="009B153B" w:rsidRDefault="00AE688C" w:rsidP="00B77579">
      <w:pPr>
        <w:pStyle w:val="Heading1"/>
        <w:framePr w:wrap="around"/>
        <w:ind w:left="709" w:right="681"/>
      </w:pPr>
      <w:bookmarkStart w:id="5" w:name="_Toc19695197"/>
      <w:bookmarkStart w:id="6" w:name="_Toc184645954"/>
      <w:r>
        <w:lastRenderedPageBreak/>
        <w:t>3.0</w:t>
      </w:r>
      <w:r w:rsidR="00C865D0">
        <w:tab/>
      </w:r>
      <w:r w:rsidR="00B77579">
        <w:t>General G</w:t>
      </w:r>
      <w:r w:rsidR="009B153B">
        <w:t xml:space="preserve">uidelines for </w:t>
      </w:r>
      <w:r w:rsidR="00B77579">
        <w:t>Treatment N</w:t>
      </w:r>
      <w:r w:rsidR="009B153B">
        <w:t>odes</w:t>
      </w:r>
      <w:bookmarkEnd w:id="5"/>
      <w:bookmarkEnd w:id="6"/>
    </w:p>
    <w:p w14:paraId="301198A3" w14:textId="115C61A4" w:rsidR="009B153B" w:rsidRPr="001546EB" w:rsidRDefault="00C865D0" w:rsidP="001546EB">
      <w:pPr>
        <w:pStyle w:val="Heading2"/>
      </w:pPr>
      <w:bookmarkStart w:id="7" w:name="_Toc184645955"/>
      <w:r>
        <w:t>3.1</w:t>
      </w:r>
      <w:r>
        <w:tab/>
      </w:r>
      <w:r w:rsidR="009B153B" w:rsidRPr="00A9081C">
        <w:t>High flow bypass and overflow</w:t>
      </w:r>
      <w:bookmarkEnd w:id="7"/>
      <w:r w:rsidR="00750759">
        <w:t xml:space="preserve">  </w:t>
      </w:r>
    </w:p>
    <w:p w14:paraId="2E1968BA" w14:textId="77777777" w:rsidR="009B153B" w:rsidRPr="00B77579" w:rsidRDefault="009B153B" w:rsidP="00B77579">
      <w:pPr>
        <w:spacing w:after="120"/>
        <w:rPr>
          <w:rFonts w:cs="Helvetica"/>
          <w:szCs w:val="20"/>
        </w:rPr>
      </w:pPr>
      <w:r w:rsidRPr="00B77579">
        <w:rPr>
          <w:rFonts w:cs="Helvetica"/>
          <w:szCs w:val="20"/>
        </w:rPr>
        <w:t xml:space="preserve">It is good design practice and a requirement that assets and vegetation are protected from high velocities and large storm event flows that may result in scour, erosion, damage to vegetation or biofilms, where practical. </w:t>
      </w:r>
    </w:p>
    <w:p w14:paraId="1FD3744D" w14:textId="77777777" w:rsidR="009B153B" w:rsidRPr="00B77579" w:rsidRDefault="009B153B" w:rsidP="00B77579">
      <w:pPr>
        <w:spacing w:after="120"/>
        <w:rPr>
          <w:rFonts w:cs="Helvetica"/>
          <w:szCs w:val="20"/>
        </w:rPr>
      </w:pPr>
      <w:r w:rsidRPr="00B77579">
        <w:rPr>
          <w:rFonts w:cs="Helvetica"/>
          <w:szCs w:val="20"/>
        </w:rPr>
        <w:t xml:space="preserve">This may be achieved using structures such as weirs, pits and pipes. These structures direct smaller and more frequent flows into the asset for treatment. Higher flows are diverted around the main treatment asset either by diverting flows that exceed a design flow rate or diverting flows once water levels rise above a certain level over an overflow, subject to meeting velocity requirements. </w:t>
      </w:r>
      <w:r w:rsidRPr="00B77579">
        <w:rPr>
          <w:rFonts w:cs="Helvetica"/>
          <w:color w:val="000000"/>
          <w:szCs w:val="20"/>
        </w:rPr>
        <w:t>This means the main treatment element, which may be a vegetated area or a filter bed, is only exposed to flow rates up to the design flow or that high flows associated with infrequent events are diverted around the treatment once the storage capacity is reached.</w:t>
      </w:r>
    </w:p>
    <w:p w14:paraId="0E216174" w14:textId="77777777" w:rsidR="009B153B" w:rsidRPr="00B77579" w:rsidRDefault="009B153B" w:rsidP="00B77579">
      <w:pPr>
        <w:spacing w:after="120"/>
        <w:rPr>
          <w:rFonts w:cs="Helvetica"/>
          <w:szCs w:val="20"/>
        </w:rPr>
      </w:pPr>
      <w:r w:rsidRPr="00B77579">
        <w:rPr>
          <w:rFonts w:cs="Helvetica"/>
          <w:szCs w:val="20"/>
        </w:rPr>
        <w:t>An asset may be protected by bypass of flows above a specified rate, by an overflow weir that engages at a specified level at the upstream end of an asset or a combination of bypasses and overflow weirs.</w:t>
      </w:r>
    </w:p>
    <w:p w14:paraId="31A44A73" w14:textId="77777777" w:rsidR="009B153B" w:rsidRPr="00B77579" w:rsidRDefault="009B153B" w:rsidP="00B77579">
      <w:pPr>
        <w:spacing w:after="120"/>
        <w:rPr>
          <w:rFonts w:cs="Helvetica"/>
          <w:color w:val="000000"/>
          <w:szCs w:val="20"/>
        </w:rPr>
      </w:pPr>
      <w:r w:rsidRPr="00B77579">
        <w:rPr>
          <w:rFonts w:cs="Helvetica"/>
          <w:szCs w:val="20"/>
        </w:rPr>
        <w:t>It is common to design treatment assets such as wetlands and bioretention to treat limited flows up to the 4 Exceedances per Year or 4EY [1 in 3 month annual recurrence interval (ARI)] design event.</w:t>
      </w:r>
    </w:p>
    <w:p w14:paraId="06C8F72C" w14:textId="77777777" w:rsidR="009B153B" w:rsidRPr="00B77579" w:rsidRDefault="009B153B" w:rsidP="00B77579">
      <w:pPr>
        <w:spacing w:after="120"/>
        <w:rPr>
          <w:rFonts w:cs="Helvetica"/>
          <w:szCs w:val="20"/>
        </w:rPr>
      </w:pPr>
      <w:r w:rsidRPr="00B77579">
        <w:rPr>
          <w:rFonts w:cs="Helvetica"/>
          <w:color w:val="000000"/>
          <w:szCs w:val="20"/>
        </w:rPr>
        <w:t>The configuration and model inputs should aim to represent the likely real-world behaviour of flows through the system to accurately estimate treatment performance and correctly size assets for catchment flows. This may include use of high flow bypass, overflow weir and secondary links.</w:t>
      </w:r>
      <w:r w:rsidRPr="00B77579">
        <w:rPr>
          <w:rFonts w:cs="Helvetica"/>
          <w:szCs w:val="20"/>
        </w:rPr>
        <w:t xml:space="preserve">  The high-flow bypass rate used should match the relevant design flow rate as calculated using an appropriate method.</w:t>
      </w:r>
    </w:p>
    <w:p w14:paraId="66BEFAD8" w14:textId="77777777" w:rsidR="009B153B" w:rsidRPr="00B77579" w:rsidRDefault="009B153B" w:rsidP="00B77579">
      <w:pPr>
        <w:spacing w:after="120"/>
        <w:rPr>
          <w:rFonts w:cs="Helvetica"/>
          <w:color w:val="000000"/>
          <w:szCs w:val="20"/>
        </w:rPr>
      </w:pPr>
      <w:r w:rsidRPr="00B77579">
        <w:rPr>
          <w:rFonts w:cs="Helvetica"/>
          <w:color w:val="000000"/>
          <w:szCs w:val="20"/>
        </w:rPr>
        <w:t>Design flows for treatment assets are usually calculated using:</w:t>
      </w:r>
    </w:p>
    <w:p w14:paraId="47AA2296" w14:textId="77777777" w:rsidR="009B153B" w:rsidRPr="00B77579" w:rsidRDefault="009B153B" w:rsidP="00B77579">
      <w:pPr>
        <w:pStyle w:val="ListBullet"/>
      </w:pPr>
      <w:r w:rsidRPr="00B77579">
        <w:t>The Rational Method;</w:t>
      </w:r>
    </w:p>
    <w:p w14:paraId="64FDA078" w14:textId="77777777" w:rsidR="009B153B" w:rsidRPr="00B77579" w:rsidRDefault="009B153B" w:rsidP="00B77579">
      <w:pPr>
        <w:pStyle w:val="ListBullet"/>
      </w:pPr>
      <w:r w:rsidRPr="00B77579">
        <w:t>A hydrologic model; or</w:t>
      </w:r>
    </w:p>
    <w:p w14:paraId="7101FC79" w14:textId="77777777" w:rsidR="009B153B" w:rsidRPr="00B77579" w:rsidRDefault="009B153B" w:rsidP="00B77579">
      <w:pPr>
        <w:pStyle w:val="ListBullet"/>
      </w:pPr>
      <w:r w:rsidRPr="00B77579">
        <w:t>Partial series analysis of flows from a MUSIC model with appropriate design and routing.</w:t>
      </w:r>
    </w:p>
    <w:p w14:paraId="743FA8D6" w14:textId="05BEC1F1" w:rsidR="009B153B" w:rsidRPr="00B77579" w:rsidRDefault="009B153B" w:rsidP="00B77579">
      <w:pPr>
        <w:spacing w:before="240" w:after="120"/>
        <w:rPr>
          <w:rFonts w:cs="Helvetica"/>
          <w:color w:val="000000"/>
          <w:szCs w:val="20"/>
        </w:rPr>
      </w:pPr>
      <w:r w:rsidRPr="00B77579">
        <w:rPr>
          <w:rFonts w:cs="Helvetica"/>
          <w:color w:val="000000"/>
          <w:szCs w:val="20"/>
        </w:rPr>
        <w:t xml:space="preserve">The user is referred to the Australian Rainfall and Runoff (AR&amp;R) Guidelines 2019 at </w:t>
      </w:r>
      <w:hyperlink r:id="rId20" w:history="1">
        <w:r w:rsidRPr="00B77579">
          <w:rPr>
            <w:rFonts w:cs="Helvetica"/>
            <w:color w:val="003263" w:themeColor="text2"/>
            <w:szCs w:val="20"/>
            <w:u w:val="single"/>
          </w:rPr>
          <w:t>http://arr.ga.gov.au/</w:t>
        </w:r>
      </w:hyperlink>
      <w:r w:rsidRPr="00B77579">
        <w:rPr>
          <w:rFonts w:cs="Helvetica"/>
          <w:color w:val="000000"/>
          <w:szCs w:val="20"/>
        </w:rPr>
        <w:t xml:space="preserve"> and </w:t>
      </w:r>
      <w:hyperlink r:id="rId21" w:history="1">
        <w:r w:rsidRPr="00B77579">
          <w:rPr>
            <w:rFonts w:cs="Helvetica"/>
            <w:color w:val="000000"/>
            <w:szCs w:val="20"/>
          </w:rPr>
          <w:t>Part D of the Constructed Wetlands Design Manual (Melbourne Water, 20</w:t>
        </w:r>
        <w:r w:rsidR="00564478">
          <w:rPr>
            <w:rFonts w:cs="Helvetica"/>
            <w:color w:val="000000"/>
            <w:szCs w:val="20"/>
          </w:rPr>
          <w:t>20</w:t>
        </w:r>
        <w:r w:rsidRPr="00B77579">
          <w:rPr>
            <w:rFonts w:cs="Helvetica"/>
            <w:color w:val="000000"/>
            <w:szCs w:val="20"/>
          </w:rPr>
          <w:t>)</w:t>
        </w:r>
      </w:hyperlink>
      <w:r w:rsidRPr="00B77579">
        <w:rPr>
          <w:rFonts w:cs="Helvetica"/>
          <w:color w:val="000000"/>
          <w:szCs w:val="20"/>
        </w:rPr>
        <w:t xml:space="preserve"> at </w:t>
      </w:r>
      <w:hyperlink r:id="rId22" w:history="1">
        <w:r w:rsidRPr="00B77579">
          <w:rPr>
            <w:rFonts w:cs="Helvetica"/>
            <w:color w:val="003263" w:themeColor="text2"/>
            <w:szCs w:val="20"/>
            <w:u w:val="single"/>
          </w:rPr>
          <w:t>https://www.melbournewater.com.au/planning-and-building/developer-guides-and-resources/standards-and-specifications/constructed-0</w:t>
        </w:r>
      </w:hyperlink>
      <w:r w:rsidRPr="00B77579">
        <w:rPr>
          <w:rFonts w:cs="Helvetica"/>
          <w:color w:val="000000"/>
          <w:szCs w:val="20"/>
        </w:rPr>
        <w:t xml:space="preserve"> for calculation approaches including guidance on the use of RORB for calculating design flows. RORB can now calculate 4 EY flow rates directly and this is preferred over rules of thumb. The Rational Method may be used for small infill developments without significant upstream storage.</w:t>
      </w:r>
    </w:p>
    <w:p w14:paraId="493D15C0" w14:textId="77777777" w:rsidR="009B153B" w:rsidRPr="00B77579" w:rsidRDefault="009B153B" w:rsidP="009B153B">
      <w:pPr>
        <w:rPr>
          <w:rFonts w:cs="Helvetica"/>
          <w:szCs w:val="20"/>
        </w:rPr>
      </w:pPr>
    </w:p>
    <w:p w14:paraId="70D62B37" w14:textId="77777777" w:rsidR="009B153B" w:rsidRPr="00287BC2" w:rsidRDefault="009B153B" w:rsidP="009B153B"/>
    <w:p w14:paraId="6344DC0F" w14:textId="5BDE594D" w:rsidR="009B153B" w:rsidRDefault="00AE688C" w:rsidP="00B77579">
      <w:pPr>
        <w:pStyle w:val="Heading1"/>
        <w:framePr w:wrap="around"/>
        <w:ind w:left="567" w:right="681"/>
      </w:pPr>
      <w:bookmarkStart w:id="8" w:name="_Toc184645956"/>
      <w:r>
        <w:lastRenderedPageBreak/>
        <w:t>4.0</w:t>
      </w:r>
      <w:r>
        <w:tab/>
      </w:r>
      <w:r w:rsidR="00462969">
        <w:t>Proprietary Stormwater Treatment Devices</w:t>
      </w:r>
      <w:bookmarkEnd w:id="8"/>
    </w:p>
    <w:p w14:paraId="63BB07AF" w14:textId="0E2637DE" w:rsidR="009B153B" w:rsidRPr="00462969" w:rsidRDefault="009B153B" w:rsidP="00B77579">
      <w:pPr>
        <w:pStyle w:val="BodyText"/>
        <w:rPr>
          <w:b/>
          <w:i/>
        </w:rPr>
      </w:pPr>
      <w:r w:rsidRPr="00462969">
        <w:rPr>
          <w:b/>
          <w:i/>
        </w:rPr>
        <w:t>See Melbourne Water’s MUSIC Guidelines, Chapter</w:t>
      </w:r>
      <w:r w:rsidR="00C70955" w:rsidRPr="00462969">
        <w:rPr>
          <w:b/>
          <w:i/>
        </w:rPr>
        <w:t xml:space="preserve"> 5</w:t>
      </w:r>
      <w:r w:rsidRPr="00462969">
        <w:rPr>
          <w:b/>
          <w:i/>
        </w:rPr>
        <w:t>.</w:t>
      </w:r>
    </w:p>
    <w:p w14:paraId="190DE0E0" w14:textId="67CB35D7" w:rsidR="00462969" w:rsidRPr="001546EB" w:rsidRDefault="00750759" w:rsidP="00750759">
      <w:r w:rsidRPr="001546EB">
        <w:t xml:space="preserve">Please note that proprietary devices </w:t>
      </w:r>
      <w:r w:rsidR="001546EB">
        <w:t xml:space="preserve">generic nodes </w:t>
      </w:r>
      <w:r w:rsidRPr="001546EB">
        <w:t>are not to be included in the modelling as performing treatment</w:t>
      </w:r>
      <w:r w:rsidR="001546EB" w:rsidRPr="001546EB">
        <w:t xml:space="preserve"> unless otherwise agreed</w:t>
      </w:r>
      <w:r w:rsidRPr="001546EB">
        <w:t>.</w:t>
      </w:r>
      <w:r w:rsidR="00462969" w:rsidRPr="001546EB">
        <w:t xml:space="preserve"> </w:t>
      </w:r>
    </w:p>
    <w:p w14:paraId="675B42B2" w14:textId="77777777" w:rsidR="00462969" w:rsidRPr="00462969" w:rsidRDefault="00462969" w:rsidP="00750759">
      <w:pPr>
        <w:rPr>
          <w:highlight w:val="yellow"/>
        </w:rPr>
      </w:pPr>
    </w:p>
    <w:p w14:paraId="5D7F51EB" w14:textId="77777777" w:rsidR="009B153B" w:rsidRPr="00287BC2" w:rsidRDefault="009B153B" w:rsidP="009B153B"/>
    <w:p w14:paraId="78768F84" w14:textId="454FEF36" w:rsidR="009B153B" w:rsidRDefault="00AE688C" w:rsidP="00726234">
      <w:pPr>
        <w:pStyle w:val="Heading1"/>
        <w:framePr w:wrap="around"/>
        <w:ind w:left="709" w:right="681"/>
      </w:pPr>
      <w:bookmarkStart w:id="9" w:name="_Toc19695201"/>
      <w:bookmarkStart w:id="10" w:name="_Toc184645957"/>
      <w:r>
        <w:lastRenderedPageBreak/>
        <w:t>5.0</w:t>
      </w:r>
      <w:r>
        <w:tab/>
      </w:r>
      <w:r w:rsidR="009B153B">
        <w:t>Wetlands</w:t>
      </w:r>
      <w:bookmarkEnd w:id="9"/>
      <w:bookmarkEnd w:id="10"/>
    </w:p>
    <w:p w14:paraId="776CB169" w14:textId="6CB8D779" w:rsidR="009B153B" w:rsidRPr="00726234" w:rsidRDefault="009B153B" w:rsidP="00726234">
      <w:pPr>
        <w:pStyle w:val="BodyText"/>
        <w:rPr>
          <w:b/>
          <w:i/>
        </w:rPr>
      </w:pPr>
      <w:r w:rsidRPr="00726234">
        <w:rPr>
          <w:b/>
          <w:i/>
        </w:rPr>
        <w:t xml:space="preserve">See Melbourne Water’s MUSIC Guidelines, Chapter </w:t>
      </w:r>
      <w:r w:rsidR="000500E3">
        <w:rPr>
          <w:b/>
          <w:i/>
        </w:rPr>
        <w:t>4</w:t>
      </w:r>
      <w:r w:rsidRPr="00726234">
        <w:rPr>
          <w:b/>
          <w:i/>
        </w:rPr>
        <w:t>.</w:t>
      </w:r>
    </w:p>
    <w:p w14:paraId="1FDF1018" w14:textId="77777777" w:rsidR="009B153B" w:rsidRDefault="009B153B" w:rsidP="009B153B"/>
    <w:p w14:paraId="4B792170" w14:textId="1D146378" w:rsidR="009B153B" w:rsidRDefault="009B153B" w:rsidP="009B153B">
      <w:r>
        <w:t>Wetlands that are to be handed over to the City should generally be designed and modelled in accordance with Melbourne Water’s Constructed Wetland Design Manual (20</w:t>
      </w:r>
      <w:r w:rsidR="00D426F5">
        <w:t>20</w:t>
      </w:r>
      <w:r>
        <w:t>) as updated. Specific requirements include:</w:t>
      </w:r>
    </w:p>
    <w:p w14:paraId="0104B2CA" w14:textId="77777777" w:rsidR="009B153B" w:rsidRDefault="009B153B" w:rsidP="00726234">
      <w:pPr>
        <w:pStyle w:val="ListBullet"/>
      </w:pPr>
      <w:r>
        <w:t>The macrophyte zone extended detention depth (EDD) must be less than or equal to 350 mm.</w:t>
      </w:r>
    </w:p>
    <w:p w14:paraId="2C4B8E7B" w14:textId="77777777" w:rsidR="009B153B" w:rsidRDefault="009B153B" w:rsidP="00726234">
      <w:pPr>
        <w:pStyle w:val="ListBullet"/>
      </w:pPr>
      <w:r>
        <w:t>At least 80% of the macrophyte zone at normal water level (NWL) must be less than or equal to 350 mm deep to support shallow and deep marsh vegetation. The bathymetry should provide approximately equal amounts of shallow marsh (100-150 mm deep) and deep marsh (150-350 mm deep).</w:t>
      </w:r>
    </w:p>
    <w:p w14:paraId="69A5C6C5" w14:textId="77777777" w:rsidR="009B153B" w:rsidRDefault="009B153B" w:rsidP="00726234">
      <w:pPr>
        <w:pStyle w:val="ListBullet"/>
      </w:pPr>
      <w:r>
        <w:t>The macrophyte zone must be offline from all waterways and drains.</w:t>
      </w:r>
    </w:p>
    <w:p w14:paraId="17C760DA" w14:textId="77777777" w:rsidR="009B153B" w:rsidRDefault="009B153B" w:rsidP="009B153B"/>
    <w:p w14:paraId="56DB4EEE" w14:textId="7D9F83E4" w:rsidR="009B153B" w:rsidRPr="00D77B4F" w:rsidRDefault="00C865D0" w:rsidP="00726234">
      <w:pPr>
        <w:pStyle w:val="Heading2"/>
      </w:pPr>
      <w:bookmarkStart w:id="11" w:name="_Toc184645958"/>
      <w:r>
        <w:t>5.1</w:t>
      </w:r>
      <w:r>
        <w:tab/>
      </w:r>
      <w:r w:rsidR="009B153B" w:rsidRPr="00D77B4F">
        <w:t>Wetland inundation frequency analysis</w:t>
      </w:r>
      <w:bookmarkEnd w:id="11"/>
    </w:p>
    <w:p w14:paraId="366FE218" w14:textId="77777777" w:rsidR="009B153B" w:rsidRDefault="009B153B" w:rsidP="00726234">
      <w:pPr>
        <w:spacing w:before="120"/>
      </w:pPr>
      <w:r>
        <w:t xml:space="preserve">A key consideration in the design of a wetland is ensuring that water levels are suitable for planting. This is primarily achieved by limiting the extended detention depth (EDD) and permanent pool depth within the shallow and deep marsh zones to ensure the total depth of water will support emergent macrophyte plants. Further consideration of inundation patterns as well as the frequency and duration of spells where the water levels will exceed various thresholds can also help inform the planting design. </w:t>
      </w:r>
    </w:p>
    <w:p w14:paraId="7D418031" w14:textId="77777777" w:rsidR="009B153B" w:rsidRDefault="009B153B" w:rsidP="00726234">
      <w:pPr>
        <w:spacing w:before="120"/>
      </w:pPr>
      <w:r>
        <w:t>An inundation frequency analysis should be undertaken to support the design of each wetland. This can be used to demonstrate compliance with a range of requirements, all of which must be met. Reasonable efforts must be made to resolve any non-compliance. Any remaining non-compliance must be discussed with the City and is subject to agreement and written approval.</w:t>
      </w:r>
    </w:p>
    <w:p w14:paraId="54DFD0F5" w14:textId="77777777" w:rsidR="009B153B" w:rsidRDefault="009B153B" w:rsidP="00726234">
      <w:pPr>
        <w:spacing w:before="120"/>
      </w:pPr>
      <w:r>
        <w:t xml:space="preserve">Users may use the Wetland Analysis Tool on the </w:t>
      </w:r>
      <w:hyperlink r:id="rId23" w:history="1">
        <w:r w:rsidRPr="002848A6">
          <w:rPr>
            <w:rStyle w:val="Hyperlink"/>
            <w:color w:val="003263" w:themeColor="text2"/>
          </w:rPr>
          <w:t>MUSIC Auditor</w:t>
        </w:r>
      </w:hyperlink>
      <w:r>
        <w:t xml:space="preserve"> website to undertake an inundation frequency analysis. Refer Melbourne Water’s Guidelines for Constructed Wetlands for further background and guidance.</w:t>
      </w:r>
    </w:p>
    <w:p w14:paraId="29603C45" w14:textId="77777777" w:rsidR="009B153B" w:rsidRDefault="009B153B" w:rsidP="00726234">
      <w:pPr>
        <w:pStyle w:val="ListBullet"/>
      </w:pPr>
      <w:r>
        <w:t>The following requirements are intended to reduce (but do not eliminate) the risk of plants drowning due to excessive depth, frequency and duration of inundation, they are minimum requirements and may be supported with input from an experienced ecologist and other metrics:</w:t>
      </w:r>
    </w:p>
    <w:p w14:paraId="6BF4E0CE" w14:textId="70C691C9" w:rsidR="009B153B" w:rsidRDefault="009B153B" w:rsidP="002848A6">
      <w:pPr>
        <w:pStyle w:val="ListBullet2"/>
      </w:pPr>
      <w:r>
        <w:t>The effective water depth (permanent pool depth plus depth above NWL) must not exceed half the average plant height for more than 20% of the time, see</w:t>
      </w:r>
      <w:r w:rsidR="00CF1300">
        <w:t xml:space="preserve"> </w:t>
      </w:r>
      <w:r w:rsidR="00CF1300">
        <w:fldChar w:fldCharType="begin"/>
      </w:r>
      <w:r w:rsidR="00CF1300">
        <w:instrText xml:space="preserve"> REF _Ref24365487 \h </w:instrText>
      </w:r>
      <w:r w:rsidR="00CF1300">
        <w:fldChar w:fldCharType="separate"/>
      </w:r>
      <w:r w:rsidR="00E228A6">
        <w:t xml:space="preserve">Figure </w:t>
      </w:r>
      <w:r w:rsidR="00E228A6">
        <w:rPr>
          <w:noProof/>
        </w:rPr>
        <w:t>2</w:t>
      </w:r>
      <w:r w:rsidR="00CF1300">
        <w:fldChar w:fldCharType="end"/>
      </w:r>
      <w:r>
        <w:t xml:space="preserve">. </w:t>
      </w:r>
    </w:p>
    <w:p w14:paraId="2C613274" w14:textId="17FE7C50" w:rsidR="009B153B" w:rsidRDefault="009B153B" w:rsidP="002848A6">
      <w:pPr>
        <w:pStyle w:val="ListBullet2"/>
      </w:pPr>
      <w:r>
        <w:t xml:space="preserve">The </w:t>
      </w:r>
      <w:r w:rsidRPr="001D398E">
        <w:t>average water level</w:t>
      </w:r>
      <w:r>
        <w:t xml:space="preserve"> should not be more than 50 mm above normal water level.</w:t>
      </w:r>
    </w:p>
    <w:p w14:paraId="27D94A1C" w14:textId="77777777" w:rsidR="009B153B" w:rsidRDefault="009B153B" w:rsidP="002848A6">
      <w:pPr>
        <w:pStyle w:val="ListBullet2"/>
      </w:pPr>
      <w:r>
        <w:t>No more than one spell of 10 days or more occurs where the water level is greater than or equal to 300 mm above NWL (in a reference period of 10 years).</w:t>
      </w:r>
    </w:p>
    <w:p w14:paraId="55FCCFF7" w14:textId="77777777" w:rsidR="009B153B" w:rsidRDefault="009B153B" w:rsidP="00726234">
      <w:pPr>
        <w:pStyle w:val="ListBullet"/>
      </w:pPr>
      <w:r>
        <w:t>The following requirement is intended to ensure water spends enough time in the wetland to be adequately treated:</w:t>
      </w:r>
    </w:p>
    <w:p w14:paraId="5EC30E9F" w14:textId="18F3B5DF" w:rsidR="009B153B" w:rsidRDefault="009B153B" w:rsidP="002848A6">
      <w:pPr>
        <w:pStyle w:val="ListBullet2"/>
      </w:pPr>
      <w:r>
        <w:t>The macrophyte zone must provide a 90</w:t>
      </w:r>
      <w:r w:rsidRPr="00270C97">
        <w:rPr>
          <w:vertAlign w:val="superscript"/>
        </w:rPr>
        <w:t>th</w:t>
      </w:r>
      <w:r>
        <w:t xml:space="preserve"> percentile residence time of at least 72 hours</w:t>
      </w:r>
      <w:r w:rsidR="00CC4A70">
        <w:t>. A lower detention time of not less than 48 hours may be considered in retrofit circumstances to achieve the plant inundation frequency criteria.</w:t>
      </w:r>
      <w:r>
        <w:t xml:space="preserve"> </w:t>
      </w:r>
    </w:p>
    <w:p w14:paraId="7C14C612" w14:textId="77777777" w:rsidR="009B153B" w:rsidRDefault="009B153B" w:rsidP="009B153B"/>
    <w:p w14:paraId="43FF9859" w14:textId="77777777" w:rsidR="002848A6" w:rsidRDefault="009B153B" w:rsidP="002848A6">
      <w:pPr>
        <w:keepNext/>
        <w:jc w:val="center"/>
      </w:pPr>
      <w:r>
        <w:rPr>
          <w:noProof/>
        </w:rPr>
        <w:drawing>
          <wp:inline distT="0" distB="0" distL="0" distR="0" wp14:anchorId="6B90F43F" wp14:editId="32F717DD">
            <wp:extent cx="5713095" cy="3956050"/>
            <wp:effectExtent l="0" t="0" r="1905" b="635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2D_ wetland level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3095" cy="3956050"/>
                    </a:xfrm>
                    <a:prstGeom prst="rect">
                      <a:avLst/>
                    </a:prstGeom>
                  </pic:spPr>
                </pic:pic>
              </a:graphicData>
            </a:graphic>
          </wp:inline>
        </w:drawing>
      </w:r>
    </w:p>
    <w:p w14:paraId="3F847941" w14:textId="1ECF7B2C" w:rsidR="009B153B" w:rsidRDefault="002848A6" w:rsidP="002848A6">
      <w:pPr>
        <w:pStyle w:val="Caption"/>
        <w:jc w:val="center"/>
      </w:pPr>
      <w:bookmarkStart w:id="12" w:name="_Ref24365487"/>
      <w:bookmarkStart w:id="13" w:name="_Toc184645980"/>
      <w:r>
        <w:t xml:space="preserve">Figure </w:t>
      </w:r>
      <w:r>
        <w:fldChar w:fldCharType="begin"/>
      </w:r>
      <w:r>
        <w:instrText xml:space="preserve"> SEQ Figure \* ARABIC </w:instrText>
      </w:r>
      <w:r>
        <w:fldChar w:fldCharType="separate"/>
      </w:r>
      <w:r w:rsidR="00E228A6">
        <w:rPr>
          <w:noProof/>
        </w:rPr>
        <w:t>2</w:t>
      </w:r>
      <w:r>
        <w:rPr>
          <w:noProof/>
        </w:rPr>
        <w:fldChar w:fldCharType="end"/>
      </w:r>
      <w:bookmarkEnd w:id="12"/>
      <w:r>
        <w:t xml:space="preserve">: </w:t>
      </w:r>
      <w:r w:rsidRPr="000960D9">
        <w:t>Comparing plant heights and effective water depth</w:t>
      </w:r>
      <w:r>
        <w:t>.</w:t>
      </w:r>
      <w:bookmarkEnd w:id="13"/>
    </w:p>
    <w:p w14:paraId="582C942B" w14:textId="77777777" w:rsidR="009B153B" w:rsidRDefault="009B153B" w:rsidP="009B153B"/>
    <w:p w14:paraId="413D227E" w14:textId="3C5EFDAE" w:rsidR="009B153B" w:rsidRDefault="009B153B" w:rsidP="009B153B">
      <w:r>
        <w:t xml:space="preserve">An example of Wetland Analysis Tool outputs is shown in the </w:t>
      </w:r>
      <w:r w:rsidR="002848A6">
        <w:t>F</w:t>
      </w:r>
      <w:r>
        <w:t xml:space="preserve">igures </w:t>
      </w:r>
      <w:r w:rsidR="00C865D0">
        <w:t>3</w:t>
      </w:r>
      <w:r>
        <w:t xml:space="preserve"> through </w:t>
      </w:r>
      <w:r w:rsidR="00C865D0">
        <w:t>7</w:t>
      </w:r>
      <w:r>
        <w:t xml:space="preserve"> illustrating the following:</w:t>
      </w:r>
    </w:p>
    <w:p w14:paraId="616112B0" w14:textId="77777777" w:rsidR="009B153B" w:rsidRDefault="009B153B" w:rsidP="002848A6">
      <w:pPr>
        <w:pStyle w:val="ListBullet"/>
      </w:pPr>
      <w:r>
        <w:t>A typical inundation frequency graph which can be used to obtain water levels exceeded 20% and 50% of the time.</w:t>
      </w:r>
    </w:p>
    <w:p w14:paraId="6416DEC0" w14:textId="77777777" w:rsidR="009B153B" w:rsidRDefault="009B153B" w:rsidP="002848A6">
      <w:pPr>
        <w:pStyle w:val="ListBullet"/>
      </w:pPr>
      <w:r>
        <w:t>Plant selection to choose plants for the shallow and deep macrophyte zones</w:t>
      </w:r>
      <w:r w:rsidR="002848A6">
        <w:t>.</w:t>
      </w:r>
    </w:p>
    <w:p w14:paraId="5C6C4C68" w14:textId="77777777" w:rsidR="009B153B" w:rsidRDefault="009B153B" w:rsidP="002848A6">
      <w:pPr>
        <w:pStyle w:val="ListBullet"/>
      </w:pPr>
      <w:r>
        <w:t>A summary report indicating compliance or non-compliance with each requirement.</w:t>
      </w:r>
    </w:p>
    <w:p w14:paraId="41BC17C2" w14:textId="77777777" w:rsidR="009B153B" w:rsidRDefault="009B153B" w:rsidP="002848A6">
      <w:pPr>
        <w:pStyle w:val="ListBullet"/>
      </w:pPr>
      <w:r>
        <w:t xml:space="preserve">A spells analysis showing that the resulting spells for significant </w:t>
      </w:r>
      <w:r w:rsidR="002848A6">
        <w:t>depths above NWL are acceptable.</w:t>
      </w:r>
    </w:p>
    <w:p w14:paraId="67E84F7B" w14:textId="77777777" w:rsidR="009B153B" w:rsidRDefault="009B153B" w:rsidP="009B153B"/>
    <w:p w14:paraId="563E1200" w14:textId="448577CA" w:rsidR="009B153B" w:rsidRDefault="00D46892" w:rsidP="002848A6">
      <w:pPr>
        <w:jc w:val="center"/>
      </w:pPr>
      <w:r>
        <w:rPr>
          <w:noProof/>
        </w:rPr>
        <w:lastRenderedPageBreak/>
        <mc:AlternateContent>
          <mc:Choice Requires="wps">
            <w:drawing>
              <wp:anchor distT="0" distB="0" distL="114300" distR="114300" simplePos="0" relativeHeight="251661312" behindDoc="0" locked="0" layoutInCell="1" allowOverlap="1" wp14:anchorId="3FBC4616" wp14:editId="3F589629">
                <wp:simplePos x="0" y="0"/>
                <wp:positionH relativeFrom="column">
                  <wp:posOffset>1020445</wp:posOffset>
                </wp:positionH>
                <wp:positionV relativeFrom="paragraph">
                  <wp:posOffset>449580</wp:posOffset>
                </wp:positionV>
                <wp:extent cx="1762125" cy="438150"/>
                <wp:effectExtent l="0" t="0" r="0" b="0"/>
                <wp:wrapNone/>
                <wp:docPr id="11768647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38150"/>
                        </a:xfrm>
                        <a:prstGeom prst="rect">
                          <a:avLst/>
                        </a:prstGeom>
                        <a:solidFill>
                          <a:schemeClr val="lt1"/>
                        </a:solidFill>
                        <a:ln w="6350">
                          <a:noFill/>
                        </a:ln>
                      </wps:spPr>
                      <wps:txbx>
                        <w:txbxContent>
                          <w:p w14:paraId="06B627CB" w14:textId="77777777" w:rsidR="002B714E" w:rsidRPr="002F5F52" w:rsidRDefault="002B714E" w:rsidP="009B153B">
                            <w:pPr>
                              <w:rPr>
                                <w:sz w:val="18"/>
                                <w:szCs w:val="18"/>
                              </w:rPr>
                            </w:pPr>
                            <w:r w:rsidRPr="002F5F52">
                              <w:rPr>
                                <w:sz w:val="18"/>
                                <w:szCs w:val="18"/>
                              </w:rPr>
                              <w:t>Read water level exceeded 20% of time which is 0.131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C4616" id="_x0000_t202" coordsize="21600,21600" o:spt="202" path="m,l,21600r21600,l21600,xe">
                <v:stroke joinstyle="miter"/>
                <v:path gradientshapeok="t" o:connecttype="rect"/>
              </v:shapetype>
              <v:shape id="Text Box 6" o:spid="_x0000_s1026" type="#_x0000_t202" style="position:absolute;left:0;text-align:left;margin-left:80.35pt;margin-top:35.4pt;width:138.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" fillcolor="white [3201]" stroked="f" strokeweight=".5pt">
                <v:textbox>
                  <w:txbxContent>
                    <w:p w14:paraId="06B627CB" w14:textId="77777777" w:rsidR="002B714E" w:rsidRPr="002F5F52" w:rsidRDefault="002B714E" w:rsidP="009B153B">
                      <w:pPr>
                        <w:rPr>
                          <w:sz w:val="18"/>
                          <w:szCs w:val="18"/>
                        </w:rPr>
                      </w:pPr>
                      <w:r w:rsidRPr="002F5F52">
                        <w:rPr>
                          <w:sz w:val="18"/>
                          <w:szCs w:val="18"/>
                        </w:rPr>
                        <w:t xml:space="preserve">Read water level exceeded 20% of time which is 0.131 </w:t>
                      </w:r>
                      <w:proofErr w:type="gramStart"/>
                      <w:r w:rsidRPr="002F5F52">
                        <w:rPr>
                          <w:sz w:val="18"/>
                          <w:szCs w:val="18"/>
                        </w:rPr>
                        <w:t>m</w:t>
                      </w:r>
                      <w:proofErr w:type="gramEnd"/>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517BB555" wp14:editId="7BA7FEAB">
                <wp:simplePos x="0" y="0"/>
                <wp:positionH relativeFrom="column">
                  <wp:posOffset>439420</wp:posOffset>
                </wp:positionH>
                <wp:positionV relativeFrom="paragraph">
                  <wp:posOffset>1113154</wp:posOffset>
                </wp:positionV>
                <wp:extent cx="1057910" cy="0"/>
                <wp:effectExtent l="0" t="0" r="0" b="0"/>
                <wp:wrapNone/>
                <wp:docPr id="88116677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9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A2E44D" id="Straight Connector 5"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pt,87.65pt" to="117.9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" strokecolor="red" strokeweight="1.5pt">
                <o:lock v:ext="edit" shapetype="f"/>
              </v:line>
            </w:pict>
          </mc:Fallback>
        </mc:AlternateContent>
      </w:r>
      <w:r>
        <w:rPr>
          <w:noProof/>
        </w:rPr>
        <mc:AlternateContent>
          <mc:Choice Requires="wps">
            <w:drawing>
              <wp:anchor distT="0" distB="0" distL="114299" distR="114299" simplePos="0" relativeHeight="251659264" behindDoc="0" locked="0" layoutInCell="1" allowOverlap="1" wp14:anchorId="7D2A0115" wp14:editId="25B72078">
                <wp:simplePos x="0" y="0"/>
                <wp:positionH relativeFrom="column">
                  <wp:posOffset>1511299</wp:posOffset>
                </wp:positionH>
                <wp:positionV relativeFrom="paragraph">
                  <wp:posOffset>1124585</wp:posOffset>
                </wp:positionV>
                <wp:extent cx="0" cy="675640"/>
                <wp:effectExtent l="0" t="0" r="19050" b="0"/>
                <wp:wrapNone/>
                <wp:docPr id="19410340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56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7D69A5" id="Straight Connector 4"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pt,88.55pt" to="119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" strokecolor="red" strokeweight="1.5pt">
                <o:lock v:ext="edit" shapetype="f"/>
              </v:line>
            </w:pict>
          </mc:Fallback>
        </mc:AlternateContent>
      </w:r>
      <w:r w:rsidR="009B153B">
        <w:rPr>
          <w:noProof/>
        </w:rPr>
        <w:drawing>
          <wp:inline distT="0" distB="0" distL="0" distR="0" wp14:anchorId="5B7DDF51" wp14:editId="06ED1074">
            <wp:extent cx="5713095" cy="2006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456"/>
                    <a:stretch/>
                  </pic:blipFill>
                  <pic:spPr bwMode="auto">
                    <a:xfrm>
                      <a:off x="0" y="0"/>
                      <a:ext cx="5713095" cy="2006600"/>
                    </a:xfrm>
                    <a:prstGeom prst="rect">
                      <a:avLst/>
                    </a:prstGeom>
                    <a:ln>
                      <a:noFill/>
                    </a:ln>
                    <a:extLst>
                      <a:ext uri="{53640926-AAD7-44D8-BBD7-CCE9431645EC}">
                        <a14:shadowObscured xmlns:a14="http://schemas.microsoft.com/office/drawing/2010/main"/>
                      </a:ext>
                    </a:extLst>
                  </pic:spPr>
                </pic:pic>
              </a:graphicData>
            </a:graphic>
          </wp:inline>
        </w:drawing>
      </w:r>
    </w:p>
    <w:p w14:paraId="26456E8E" w14:textId="2E44A420" w:rsidR="009B153B" w:rsidRDefault="009B153B" w:rsidP="002848A6">
      <w:pPr>
        <w:pStyle w:val="Caption"/>
        <w:jc w:val="center"/>
      </w:pPr>
      <w:bookmarkStart w:id="14" w:name="_Ref19181291"/>
      <w:bookmarkStart w:id="15" w:name="_Toc184645981"/>
      <w:r>
        <w:t xml:space="preserve">Figure </w:t>
      </w:r>
      <w:r>
        <w:rPr>
          <w:noProof/>
        </w:rPr>
        <w:fldChar w:fldCharType="begin"/>
      </w:r>
      <w:r>
        <w:rPr>
          <w:noProof/>
        </w:rPr>
        <w:instrText xml:space="preserve"> SEQ Figure \* ARABIC </w:instrText>
      </w:r>
      <w:r>
        <w:rPr>
          <w:noProof/>
        </w:rPr>
        <w:fldChar w:fldCharType="separate"/>
      </w:r>
      <w:r w:rsidR="00E228A6">
        <w:rPr>
          <w:noProof/>
        </w:rPr>
        <w:t>3</w:t>
      </w:r>
      <w:r>
        <w:rPr>
          <w:noProof/>
        </w:rPr>
        <w:fldChar w:fldCharType="end"/>
      </w:r>
      <w:bookmarkEnd w:id="14"/>
      <w:r w:rsidR="002848A6">
        <w:rPr>
          <w:noProof/>
        </w:rPr>
        <w:t>:</w:t>
      </w:r>
      <w:r>
        <w:rPr>
          <w:noProof/>
        </w:rPr>
        <w:t xml:space="preserve"> Typical i</w:t>
      </w:r>
      <w:r>
        <w:t>nundation frequency graph for assessing</w:t>
      </w:r>
      <w:r w:rsidR="00CF1300">
        <w:t>.</w:t>
      </w:r>
      <w:bookmarkEnd w:id="15"/>
    </w:p>
    <w:p w14:paraId="50AF0E48" w14:textId="77777777" w:rsidR="009B153B" w:rsidRDefault="009B153B" w:rsidP="009B153B"/>
    <w:p w14:paraId="66C3D20C" w14:textId="77777777" w:rsidR="009B153B" w:rsidRDefault="009B153B" w:rsidP="002848A6">
      <w:pPr>
        <w:jc w:val="center"/>
      </w:pPr>
      <w:r>
        <w:rPr>
          <w:noProof/>
        </w:rPr>
        <w:drawing>
          <wp:inline distT="0" distB="0" distL="0" distR="0" wp14:anchorId="4F9CE671" wp14:editId="51414EA6">
            <wp:extent cx="5713095" cy="380555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3095" cy="3805555"/>
                    </a:xfrm>
                    <a:prstGeom prst="rect">
                      <a:avLst/>
                    </a:prstGeom>
                  </pic:spPr>
                </pic:pic>
              </a:graphicData>
            </a:graphic>
          </wp:inline>
        </w:drawing>
      </w:r>
    </w:p>
    <w:p w14:paraId="015DF3CD" w14:textId="01544357" w:rsidR="009B153B" w:rsidRDefault="009B153B" w:rsidP="002848A6">
      <w:pPr>
        <w:pStyle w:val="Caption"/>
        <w:jc w:val="center"/>
      </w:pPr>
      <w:bookmarkStart w:id="16" w:name="_Toc184645982"/>
      <w:r>
        <w:t xml:space="preserve">Figure </w:t>
      </w:r>
      <w:r>
        <w:rPr>
          <w:noProof/>
        </w:rPr>
        <w:fldChar w:fldCharType="begin"/>
      </w:r>
      <w:r>
        <w:rPr>
          <w:noProof/>
        </w:rPr>
        <w:instrText xml:space="preserve"> SEQ Figure \* ARABIC </w:instrText>
      </w:r>
      <w:r>
        <w:rPr>
          <w:noProof/>
        </w:rPr>
        <w:fldChar w:fldCharType="separate"/>
      </w:r>
      <w:r w:rsidR="00E228A6">
        <w:rPr>
          <w:noProof/>
        </w:rPr>
        <w:t>4</w:t>
      </w:r>
      <w:r>
        <w:rPr>
          <w:noProof/>
        </w:rPr>
        <w:fldChar w:fldCharType="end"/>
      </w:r>
      <w:r w:rsidR="002848A6">
        <w:rPr>
          <w:noProof/>
        </w:rPr>
        <w:t>:</w:t>
      </w:r>
      <w:r>
        <w:t xml:space="preserve"> Typical plant selection to select suitable plants</w:t>
      </w:r>
      <w:r w:rsidR="00CF1300">
        <w:t>.</w:t>
      </w:r>
      <w:bookmarkEnd w:id="16"/>
    </w:p>
    <w:p w14:paraId="0C5E9FFF" w14:textId="77777777" w:rsidR="009B153B" w:rsidRDefault="009B153B" w:rsidP="009B153B"/>
    <w:p w14:paraId="252CA6AC" w14:textId="77777777" w:rsidR="009B153B" w:rsidRDefault="009B153B" w:rsidP="002848A6">
      <w:pPr>
        <w:jc w:val="center"/>
      </w:pPr>
      <w:r>
        <w:rPr>
          <w:noProof/>
        </w:rPr>
        <w:lastRenderedPageBreak/>
        <w:drawing>
          <wp:inline distT="0" distB="0" distL="0" distR="0" wp14:anchorId="517308BA" wp14:editId="452299EB">
            <wp:extent cx="5713095" cy="2394585"/>
            <wp:effectExtent l="0" t="0" r="190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3095" cy="2394585"/>
                    </a:xfrm>
                    <a:prstGeom prst="rect">
                      <a:avLst/>
                    </a:prstGeom>
                  </pic:spPr>
                </pic:pic>
              </a:graphicData>
            </a:graphic>
          </wp:inline>
        </w:drawing>
      </w:r>
    </w:p>
    <w:p w14:paraId="3D02D9D5" w14:textId="59EDFBB5" w:rsidR="009B153B" w:rsidRDefault="009B153B" w:rsidP="002848A6">
      <w:pPr>
        <w:pStyle w:val="Caption"/>
        <w:jc w:val="center"/>
      </w:pPr>
      <w:bookmarkStart w:id="17" w:name="_Toc184645983"/>
      <w:r>
        <w:t xml:space="preserve">Figure </w:t>
      </w:r>
      <w:r>
        <w:rPr>
          <w:noProof/>
        </w:rPr>
        <w:fldChar w:fldCharType="begin"/>
      </w:r>
      <w:r>
        <w:rPr>
          <w:noProof/>
        </w:rPr>
        <w:instrText xml:space="preserve"> SEQ Figure \* ARABIC </w:instrText>
      </w:r>
      <w:r>
        <w:rPr>
          <w:noProof/>
        </w:rPr>
        <w:fldChar w:fldCharType="separate"/>
      </w:r>
      <w:r w:rsidR="00E228A6">
        <w:rPr>
          <w:noProof/>
        </w:rPr>
        <w:t>5</w:t>
      </w:r>
      <w:r>
        <w:rPr>
          <w:noProof/>
        </w:rPr>
        <w:fldChar w:fldCharType="end"/>
      </w:r>
      <w:r w:rsidR="002848A6">
        <w:rPr>
          <w:noProof/>
        </w:rPr>
        <w:t>:</w:t>
      </w:r>
      <w:r>
        <w:t xml:space="preserve"> Example results demonstrating compliance with all requirements</w:t>
      </w:r>
      <w:r w:rsidR="002848A6">
        <w:t>.</w:t>
      </w:r>
      <w:bookmarkEnd w:id="17"/>
    </w:p>
    <w:p w14:paraId="316B8B32" w14:textId="77777777" w:rsidR="009B153B" w:rsidRDefault="009B153B" w:rsidP="009B153B">
      <w:pPr>
        <w:rPr>
          <w:noProof/>
        </w:rPr>
      </w:pPr>
    </w:p>
    <w:p w14:paraId="05C7D1FD" w14:textId="77777777" w:rsidR="009B153B" w:rsidRDefault="009B153B" w:rsidP="002848A6">
      <w:pPr>
        <w:jc w:val="center"/>
        <w:rPr>
          <w:noProof/>
        </w:rPr>
      </w:pPr>
      <w:r>
        <w:rPr>
          <w:noProof/>
        </w:rPr>
        <w:drawing>
          <wp:inline distT="0" distB="0" distL="0" distR="0" wp14:anchorId="5B7797BF" wp14:editId="16057040">
            <wp:extent cx="5713095" cy="263715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3095" cy="2637155"/>
                    </a:xfrm>
                    <a:prstGeom prst="rect">
                      <a:avLst/>
                    </a:prstGeom>
                  </pic:spPr>
                </pic:pic>
              </a:graphicData>
            </a:graphic>
          </wp:inline>
        </w:drawing>
      </w:r>
    </w:p>
    <w:p w14:paraId="5DCF7BB3" w14:textId="02BA8BD0" w:rsidR="009B153B" w:rsidRDefault="009B153B" w:rsidP="002848A6">
      <w:pPr>
        <w:pStyle w:val="Caption"/>
        <w:jc w:val="center"/>
      </w:pPr>
      <w:bookmarkStart w:id="18" w:name="_Toc184645984"/>
      <w:r>
        <w:t xml:space="preserve">Figure </w:t>
      </w:r>
      <w:r>
        <w:rPr>
          <w:noProof/>
        </w:rPr>
        <w:fldChar w:fldCharType="begin"/>
      </w:r>
      <w:r>
        <w:rPr>
          <w:noProof/>
        </w:rPr>
        <w:instrText xml:space="preserve"> SEQ Figure \* ARABIC </w:instrText>
      </w:r>
      <w:r>
        <w:rPr>
          <w:noProof/>
        </w:rPr>
        <w:fldChar w:fldCharType="separate"/>
      </w:r>
      <w:r w:rsidR="00E228A6">
        <w:rPr>
          <w:noProof/>
        </w:rPr>
        <w:t>6</w:t>
      </w:r>
      <w:r>
        <w:rPr>
          <w:noProof/>
        </w:rPr>
        <w:fldChar w:fldCharType="end"/>
      </w:r>
      <w:r w:rsidR="002848A6">
        <w:rPr>
          <w:noProof/>
        </w:rPr>
        <w:t>:</w:t>
      </w:r>
      <w:r>
        <w:t xml:space="preserve"> Example results demonstrating non-compliance</w:t>
      </w:r>
      <w:r w:rsidR="002848A6">
        <w:t>.</w:t>
      </w:r>
      <w:bookmarkEnd w:id="18"/>
    </w:p>
    <w:p w14:paraId="7BC962FB" w14:textId="77777777" w:rsidR="009B153B" w:rsidRDefault="009B153B" w:rsidP="009B153B">
      <w:pPr>
        <w:rPr>
          <w:noProof/>
        </w:rPr>
      </w:pPr>
    </w:p>
    <w:p w14:paraId="77E73908" w14:textId="1031295C" w:rsidR="009B153B" w:rsidRDefault="00D46892" w:rsidP="002848A6">
      <w:pPr>
        <w:jc w:val="center"/>
      </w:pPr>
      <w:r>
        <w:rPr>
          <w:noProof/>
        </w:rPr>
        <w:lastRenderedPageBreak/>
        <mc:AlternateContent>
          <mc:Choice Requires="wps">
            <w:drawing>
              <wp:anchor distT="0" distB="0" distL="114300" distR="114300" simplePos="0" relativeHeight="251662336" behindDoc="0" locked="0" layoutInCell="1" allowOverlap="1" wp14:anchorId="0CD8648A" wp14:editId="2762B11B">
                <wp:simplePos x="0" y="0"/>
                <wp:positionH relativeFrom="margin">
                  <wp:align>right</wp:align>
                </wp:positionH>
                <wp:positionV relativeFrom="paragraph">
                  <wp:posOffset>424815</wp:posOffset>
                </wp:positionV>
                <wp:extent cx="5591175" cy="3228975"/>
                <wp:effectExtent l="0" t="0" r="9525" b="9525"/>
                <wp:wrapNone/>
                <wp:docPr id="9540211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3228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D4285" w14:textId="77777777" w:rsidR="002B714E" w:rsidRPr="00C4547F" w:rsidRDefault="002B714E" w:rsidP="009B153B">
                            <w:pPr>
                              <w:jc w:val="right"/>
                              <w:rPr>
                                <w:color w:val="FF0000"/>
                              </w:rPr>
                            </w:pPr>
                            <w:r w:rsidRPr="00C4547F">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8648A" id="Rectangle 3" o:spid="_x0000_s1027" style="position:absolute;left:0;text-align:left;margin-left:389.05pt;margin-top:33.45pt;width:440.25pt;height:254.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" filled="f" strokecolor="red" strokeweight="1.5pt">
                <v:path arrowok="t"/>
                <v:textbox>
                  <w:txbxContent>
                    <w:p w14:paraId="38CD4285" w14:textId="77777777" w:rsidR="002B714E" w:rsidRPr="00C4547F" w:rsidRDefault="002B714E" w:rsidP="009B153B">
                      <w:pPr>
                        <w:jc w:val="right"/>
                        <w:rPr>
                          <w:color w:val="FF0000"/>
                        </w:rPr>
                      </w:pPr>
                      <w:r w:rsidRPr="00C4547F">
                        <w:rPr>
                          <w:color w:val="FF0000"/>
                        </w:rPr>
                        <w:t>3</w:t>
                      </w:r>
                    </w:p>
                  </w:txbxContent>
                </v:textbox>
                <w10:wrap anchorx="margin"/>
              </v:rect>
            </w:pict>
          </mc:Fallback>
        </mc:AlternateContent>
      </w:r>
      <w:r w:rsidR="009B153B">
        <w:rPr>
          <w:noProof/>
        </w:rPr>
        <w:drawing>
          <wp:inline distT="0" distB="0" distL="0" distR="0" wp14:anchorId="63605C91" wp14:editId="02CC0C0F">
            <wp:extent cx="5713095" cy="3808730"/>
            <wp:effectExtent l="0" t="0" r="1905" b="127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lls-threshold-03-m.png"/>
                    <pic:cNvPicPr/>
                  </pic:nvPicPr>
                  <pic:blipFill>
                    <a:blip r:embed="rId29">
                      <a:extLst>
                        <a:ext uri="{28A0092B-C50C-407E-A947-70E740481C1C}">
                          <a14:useLocalDpi xmlns:a14="http://schemas.microsoft.com/office/drawing/2010/main" val="0"/>
                        </a:ext>
                      </a:extLst>
                    </a:blip>
                    <a:stretch>
                      <a:fillRect/>
                    </a:stretch>
                  </pic:blipFill>
                  <pic:spPr>
                    <a:xfrm>
                      <a:off x="0" y="0"/>
                      <a:ext cx="5713095" cy="3808730"/>
                    </a:xfrm>
                    <a:prstGeom prst="rect">
                      <a:avLst/>
                    </a:prstGeom>
                  </pic:spPr>
                </pic:pic>
              </a:graphicData>
            </a:graphic>
          </wp:inline>
        </w:drawing>
      </w:r>
    </w:p>
    <w:p w14:paraId="7C83DFDD" w14:textId="23264AE3" w:rsidR="00CF1300" w:rsidRDefault="009B153B" w:rsidP="00CF1300">
      <w:pPr>
        <w:pStyle w:val="Caption"/>
        <w:spacing w:after="0"/>
        <w:jc w:val="center"/>
      </w:pPr>
      <w:bookmarkStart w:id="19" w:name="_Toc184645985"/>
      <w:r>
        <w:t xml:space="preserve">Figure </w:t>
      </w:r>
      <w:r>
        <w:rPr>
          <w:noProof/>
        </w:rPr>
        <w:fldChar w:fldCharType="begin"/>
      </w:r>
      <w:r>
        <w:rPr>
          <w:noProof/>
        </w:rPr>
        <w:instrText xml:space="preserve"> SEQ Figure \* ARABIC </w:instrText>
      </w:r>
      <w:r>
        <w:rPr>
          <w:noProof/>
        </w:rPr>
        <w:fldChar w:fldCharType="separate"/>
      </w:r>
      <w:r w:rsidR="00E228A6">
        <w:rPr>
          <w:noProof/>
        </w:rPr>
        <w:t>7</w:t>
      </w:r>
      <w:r>
        <w:rPr>
          <w:noProof/>
        </w:rPr>
        <w:fldChar w:fldCharType="end"/>
      </w:r>
      <w:r w:rsidR="002848A6">
        <w:rPr>
          <w:noProof/>
        </w:rPr>
        <w:t>:</w:t>
      </w:r>
      <w:r>
        <w:t xml:space="preserve"> Typical spells analysis output indicating compliance with requirement 3</w:t>
      </w:r>
      <w:bookmarkEnd w:id="19"/>
    </w:p>
    <w:p w14:paraId="6A301A24" w14:textId="77777777" w:rsidR="009B153B" w:rsidRPr="00CF1300" w:rsidRDefault="009B153B" w:rsidP="00CF1300">
      <w:pPr>
        <w:pStyle w:val="BodyText"/>
        <w:spacing w:before="0" w:after="0"/>
        <w:jc w:val="center"/>
        <w:rPr>
          <w:b/>
          <w:color w:val="003263" w:themeColor="text2"/>
          <w:sz w:val="16"/>
          <w:szCs w:val="16"/>
        </w:rPr>
      </w:pPr>
      <w:r w:rsidRPr="00CF1300">
        <w:rPr>
          <w:b/>
          <w:color w:val="003263" w:themeColor="text2"/>
          <w:sz w:val="16"/>
          <w:szCs w:val="16"/>
        </w:rPr>
        <w:t>(Longest spell is 5 days, not more than one spell of 10 days or more)</w:t>
      </w:r>
      <w:r w:rsidR="00CF1300">
        <w:rPr>
          <w:b/>
          <w:color w:val="003263" w:themeColor="text2"/>
          <w:sz w:val="16"/>
          <w:szCs w:val="16"/>
        </w:rPr>
        <w:t>.</w:t>
      </w:r>
    </w:p>
    <w:p w14:paraId="5267D6D4" w14:textId="77777777" w:rsidR="009B153B" w:rsidRDefault="009B153B" w:rsidP="009B153B"/>
    <w:p w14:paraId="1BAABA31" w14:textId="7ACCDD4D" w:rsidR="009B153B" w:rsidRDefault="00C865D0" w:rsidP="0008198D">
      <w:pPr>
        <w:pStyle w:val="Heading2"/>
      </w:pPr>
      <w:bookmarkStart w:id="20" w:name="_Toc184645959"/>
      <w:r>
        <w:t>5.2</w:t>
      </w:r>
      <w:r>
        <w:tab/>
      </w:r>
      <w:r w:rsidR="009B153B" w:rsidRPr="00B96ED0">
        <w:t>Stage-storage discharge relationships</w:t>
      </w:r>
      <w:bookmarkEnd w:id="20"/>
    </w:p>
    <w:p w14:paraId="0348B270" w14:textId="53AC033B" w:rsidR="0089570D" w:rsidRPr="0089570D" w:rsidRDefault="0089570D" w:rsidP="0089570D">
      <w:pPr>
        <w:pStyle w:val="BodyText"/>
      </w:pPr>
      <w:r w:rsidRPr="001B24EF">
        <w:rPr>
          <w:b/>
          <w:i/>
        </w:rPr>
        <w:t xml:space="preserve">See Melbourne Water’s MUSIC Guidelines, Chapter </w:t>
      </w:r>
      <w:r>
        <w:rPr>
          <w:b/>
          <w:i/>
        </w:rPr>
        <w:t>7</w:t>
      </w:r>
      <w:r w:rsidRPr="001B24EF">
        <w:rPr>
          <w:b/>
          <w:i/>
        </w:rPr>
        <w:t>.</w:t>
      </w:r>
    </w:p>
    <w:p w14:paraId="7FB5990A" w14:textId="77777777" w:rsidR="009B153B" w:rsidRDefault="009B153B" w:rsidP="009B153B">
      <w:r>
        <w:t>A custom stage-storage-discharge relationship is required to be used for wetlands intended to be handed over to the City at the functional and detailed design stages. The following should be submitted to provide evidence of design and calculations for this:</w:t>
      </w:r>
    </w:p>
    <w:p w14:paraId="74BD15C5" w14:textId="77777777" w:rsidR="009B153B" w:rsidRDefault="009B153B" w:rsidP="0008198D">
      <w:pPr>
        <w:pStyle w:val="ListBullet"/>
      </w:pPr>
      <w:r>
        <w:t>Screenshot of output from earthworks modelling software of stage-storage relationship.</w:t>
      </w:r>
    </w:p>
    <w:p w14:paraId="14F915D6" w14:textId="77777777" w:rsidR="009B153B" w:rsidRDefault="009B153B" w:rsidP="0008198D">
      <w:pPr>
        <w:pStyle w:val="ListBullet"/>
      </w:pPr>
      <w:r>
        <w:t>MUSIC model with defined stage-storage-discharge relationships.</w:t>
      </w:r>
    </w:p>
    <w:p w14:paraId="32C7828B" w14:textId="77777777" w:rsidR="009B153B" w:rsidRDefault="009B153B" w:rsidP="0008198D">
      <w:pPr>
        <w:pStyle w:val="ListBullet"/>
      </w:pPr>
      <w:r>
        <w:t>Area and volume at NWL and EDD.</w:t>
      </w:r>
    </w:p>
    <w:p w14:paraId="2AE7D322" w14:textId="77777777" w:rsidR="009B153B" w:rsidRDefault="009B153B" w:rsidP="0008198D">
      <w:pPr>
        <w:pStyle w:val="ListBullet"/>
      </w:pPr>
      <w:r>
        <w:t>Calculations used for stage-discharge relationships for both wetland outflows and overflows.</w:t>
      </w:r>
    </w:p>
    <w:p w14:paraId="1A9B8184" w14:textId="77777777" w:rsidR="009B153B" w:rsidRDefault="009B153B" w:rsidP="0008198D">
      <w:pPr>
        <w:pStyle w:val="ListBullet"/>
      </w:pPr>
      <w:r>
        <w:t>Peak top water level for the 1 EY storm event (1 in 1 year ARI) and maximum flows through wetland as per design.</w:t>
      </w:r>
    </w:p>
    <w:p w14:paraId="5AC46757" w14:textId="77777777" w:rsidR="009B153B" w:rsidRPr="002071DA" w:rsidRDefault="009B153B" w:rsidP="0008198D">
      <w:pPr>
        <w:pStyle w:val="ListBullet"/>
      </w:pPr>
      <w:r w:rsidRPr="002071DA">
        <w:t>Check of node water balance to confirm that mass balance error is negligible.</w:t>
      </w:r>
    </w:p>
    <w:p w14:paraId="195B61E5" w14:textId="6ADC07BE" w:rsidR="0089570D" w:rsidRPr="002071DA" w:rsidRDefault="002071DA" w:rsidP="0008198D">
      <w:pPr>
        <w:pStyle w:val="ListBullet"/>
      </w:pPr>
      <w:r w:rsidRPr="002071DA">
        <w:t>Provide</w:t>
      </w:r>
      <w:r w:rsidR="0089570D" w:rsidRPr="002071DA">
        <w:t xml:space="preserve"> the Flux file results.</w:t>
      </w:r>
    </w:p>
    <w:p w14:paraId="3BBD4BE6" w14:textId="77777777" w:rsidR="009B153B" w:rsidRPr="00287BC2" w:rsidRDefault="009B153B" w:rsidP="009B153B"/>
    <w:p w14:paraId="75FC2CEE" w14:textId="77777777" w:rsidR="009B153B" w:rsidRDefault="009B153B" w:rsidP="009B153B"/>
    <w:p w14:paraId="66549D38" w14:textId="77777777" w:rsidR="009B153B" w:rsidRPr="00287BC2" w:rsidRDefault="009B153B" w:rsidP="009B153B"/>
    <w:p w14:paraId="572069CC" w14:textId="505CD129" w:rsidR="009B153B" w:rsidRDefault="00AE688C" w:rsidP="001B24EF">
      <w:pPr>
        <w:pStyle w:val="Heading1"/>
        <w:framePr w:wrap="around"/>
        <w:ind w:left="709" w:right="681"/>
      </w:pPr>
      <w:bookmarkStart w:id="21" w:name="_Toc19695203"/>
      <w:bookmarkStart w:id="22" w:name="_Toc184645960"/>
      <w:r>
        <w:lastRenderedPageBreak/>
        <w:t>6.0</w:t>
      </w:r>
      <w:r>
        <w:tab/>
      </w:r>
      <w:r w:rsidR="009B153B">
        <w:t>Bioretention</w:t>
      </w:r>
      <w:bookmarkEnd w:id="21"/>
      <w:bookmarkEnd w:id="22"/>
    </w:p>
    <w:p w14:paraId="1187AC00" w14:textId="77777777" w:rsidR="009B153B" w:rsidRDefault="009B153B" w:rsidP="009B153B">
      <w:r>
        <w:t>Bioretention assets should be designed in accordance with the fundamental principles and guidance provided in current version of the following documents as amended:</w:t>
      </w:r>
    </w:p>
    <w:p w14:paraId="1CDE3D44" w14:textId="77777777" w:rsidR="009B153B" w:rsidRDefault="009B153B" w:rsidP="001B24EF">
      <w:pPr>
        <w:pStyle w:val="ListBullet"/>
      </w:pPr>
      <w:r w:rsidRPr="006C4A27">
        <w:rPr>
          <w:iCs/>
        </w:rPr>
        <w:t>Adoption Guidelines for Stormwater Biofiltra</w:t>
      </w:r>
      <w:r w:rsidR="001B24EF" w:rsidRPr="006C4A27">
        <w:rPr>
          <w:iCs/>
        </w:rPr>
        <w:t>tion Systems</w:t>
      </w:r>
      <w:r w:rsidR="001B24EF">
        <w:t xml:space="preserve"> (CRCWSC, 2015)</w:t>
      </w:r>
    </w:p>
    <w:p w14:paraId="7F510860" w14:textId="77777777" w:rsidR="000500E3" w:rsidRDefault="000500E3" w:rsidP="000500E3">
      <w:pPr>
        <w:pStyle w:val="ListBullet"/>
      </w:pPr>
      <w:r>
        <w:t>Biofiltration Systems in Development Services Schemes Guideline (Melbourne Water, 2020)</w:t>
      </w:r>
    </w:p>
    <w:p w14:paraId="19F7018C" w14:textId="705752B9" w:rsidR="009B153B" w:rsidRPr="006C4A27" w:rsidRDefault="009B153B" w:rsidP="001B24EF">
      <w:pPr>
        <w:pStyle w:val="ListBullet"/>
        <w:rPr>
          <w:iCs/>
        </w:rPr>
      </w:pPr>
      <w:r w:rsidRPr="006C4A27">
        <w:rPr>
          <w:iCs/>
        </w:rPr>
        <w:t>MUSIC Guideline</w:t>
      </w:r>
      <w:r w:rsidR="00AB496D">
        <w:rPr>
          <w:iCs/>
        </w:rPr>
        <w:t xml:space="preserve"> (Melbourne Water 2024)</w:t>
      </w:r>
      <w:r w:rsidR="00AB496D" w:rsidRPr="006C4A27">
        <w:rPr>
          <w:iCs/>
        </w:rPr>
        <w:t xml:space="preserve"> </w:t>
      </w:r>
    </w:p>
    <w:p w14:paraId="34031E4B" w14:textId="77777777" w:rsidR="009B153B" w:rsidRDefault="009B153B" w:rsidP="001B24EF">
      <w:pPr>
        <w:spacing w:before="120"/>
      </w:pPr>
      <w:r>
        <w:t>The reader is referred to the first two of these for descriptions of what a bioretention asset is and how it works.</w:t>
      </w:r>
    </w:p>
    <w:p w14:paraId="76ADF331" w14:textId="42BBCBD4" w:rsidR="009B153B" w:rsidRDefault="009B153B" w:rsidP="001B24EF">
      <w:pPr>
        <w:spacing w:before="120"/>
      </w:pPr>
      <w:r>
        <w:t xml:space="preserve">The designer should consider whether a bioretention asset is appropriate for the site with reference to </w:t>
      </w:r>
      <w:r w:rsidRPr="00C03873">
        <w:rPr>
          <w:i/>
        </w:rPr>
        <w:fldChar w:fldCharType="begin"/>
      </w:r>
      <w:r w:rsidRPr="00C03873">
        <w:rPr>
          <w:i/>
        </w:rPr>
        <w:instrText xml:space="preserve"> REF _Ref6215706 \h </w:instrText>
      </w:r>
      <w:r>
        <w:rPr>
          <w:i/>
        </w:rPr>
        <w:instrText xml:space="preserve"> \* MERGEFORMAT </w:instrText>
      </w:r>
      <w:r w:rsidRPr="00C03873">
        <w:rPr>
          <w:i/>
        </w:rPr>
      </w:r>
      <w:r w:rsidRPr="00C03873">
        <w:rPr>
          <w:i/>
        </w:rPr>
        <w:fldChar w:fldCharType="separate"/>
      </w:r>
      <w:r w:rsidR="00E228A6" w:rsidRPr="00E228A6">
        <w:rPr>
          <w:i/>
        </w:rPr>
        <w:t xml:space="preserve">Table </w:t>
      </w:r>
      <w:r w:rsidR="00E228A6" w:rsidRPr="00E228A6">
        <w:rPr>
          <w:i/>
          <w:noProof/>
        </w:rPr>
        <w:t>8</w:t>
      </w:r>
      <w:r w:rsidRPr="00C03873">
        <w:rPr>
          <w:i/>
        </w:rPr>
        <w:fldChar w:fldCharType="end"/>
      </w:r>
      <w:r w:rsidRPr="00C03873">
        <w:rPr>
          <w:i/>
        </w:rPr>
        <w:t xml:space="preserve"> in </w:t>
      </w:r>
      <w:r w:rsidRPr="00C03873">
        <w:rPr>
          <w:i/>
        </w:rPr>
        <w:fldChar w:fldCharType="begin"/>
      </w:r>
      <w:r w:rsidRPr="00C03873">
        <w:rPr>
          <w:i/>
        </w:rPr>
        <w:instrText xml:space="preserve"> REF _Ref6215723 \h </w:instrText>
      </w:r>
      <w:r>
        <w:rPr>
          <w:i/>
        </w:rPr>
        <w:instrText xml:space="preserve"> \* MERGEFORMAT </w:instrText>
      </w:r>
      <w:r w:rsidRPr="00C03873">
        <w:rPr>
          <w:i/>
        </w:rPr>
      </w:r>
      <w:r w:rsidRPr="00C03873">
        <w:rPr>
          <w:i/>
        </w:rPr>
        <w:fldChar w:fldCharType="separate"/>
      </w:r>
      <w:r w:rsidR="00E228A6" w:rsidRPr="00E228A6">
        <w:rPr>
          <w:i/>
        </w:rPr>
        <w:t>Appendix C - When is a Bioretention Asset Appropriate?</w:t>
      </w:r>
      <w:r w:rsidRPr="00C03873">
        <w:rPr>
          <w:i/>
        </w:rPr>
        <w:fldChar w:fldCharType="end"/>
      </w:r>
      <w:r>
        <w:t>.</w:t>
      </w:r>
    </w:p>
    <w:p w14:paraId="0A5797BD" w14:textId="77777777" w:rsidR="009B153B" w:rsidRDefault="009B153B" w:rsidP="001B24EF">
      <w:pPr>
        <w:spacing w:before="120"/>
      </w:pPr>
      <w:r>
        <w:t>Bioretention assets should be designed and modelled in accordance with the requirements and specifications set out in this guideline unless agreed in writing by the City and this document takes precedence over other guidelines. The City have no obligation to accept any design that does not comply with the following requirements and non-complying designs and models will be considered on a case-by-case basis. The following specific requirements apply:</w:t>
      </w:r>
    </w:p>
    <w:p w14:paraId="5D64E7BA" w14:textId="2240DF72" w:rsidR="009B153B" w:rsidRPr="00C865D0" w:rsidRDefault="009B153B" w:rsidP="00C865D0">
      <w:pPr>
        <w:pStyle w:val="ListBullet"/>
        <w:rPr>
          <w:b/>
          <w:bCs/>
        </w:rPr>
      </w:pPr>
      <w:r w:rsidRPr="00C865D0">
        <w:rPr>
          <w:b/>
          <w:bCs/>
        </w:rPr>
        <w:t>Design plans and model</w:t>
      </w:r>
    </w:p>
    <w:p w14:paraId="031AC203" w14:textId="77777777" w:rsidR="009B153B" w:rsidRDefault="009B153B" w:rsidP="00C865D0">
      <w:pPr>
        <w:pStyle w:val="ListBullet2"/>
      </w:pPr>
      <w:r>
        <w:t>The asset configuration shown on the design plans must be consistent with the parameters adopted in the MUSIC model</w:t>
      </w:r>
      <w:r w:rsidR="006D63E0">
        <w:t>.</w:t>
      </w:r>
    </w:p>
    <w:p w14:paraId="34918EBC" w14:textId="77777777" w:rsidR="009B153B" w:rsidRPr="00C865D0" w:rsidRDefault="009B153B" w:rsidP="00C865D0">
      <w:pPr>
        <w:pStyle w:val="ListBullet"/>
        <w:rPr>
          <w:b/>
          <w:bCs/>
        </w:rPr>
      </w:pPr>
      <w:r w:rsidRPr="00C865D0">
        <w:rPr>
          <w:b/>
          <w:bCs/>
        </w:rPr>
        <w:t>Flows and velocities</w:t>
      </w:r>
    </w:p>
    <w:p w14:paraId="4F1D8B21" w14:textId="77777777" w:rsidR="009B153B" w:rsidRPr="004205FB" w:rsidRDefault="009B153B" w:rsidP="00C865D0">
      <w:pPr>
        <w:pStyle w:val="ListBullet2"/>
      </w:pPr>
      <w:r w:rsidRPr="004205FB">
        <w:t xml:space="preserve">Design flows shall be estimated in accordance with methods in </w:t>
      </w:r>
      <w:r>
        <w:t xml:space="preserve">the current </w:t>
      </w:r>
      <w:r w:rsidRPr="004205FB">
        <w:t>Australian Rainfall and Runoff</w:t>
      </w:r>
      <w:r>
        <w:t>.</w:t>
      </w:r>
    </w:p>
    <w:p w14:paraId="3B6F50BF" w14:textId="77777777" w:rsidR="009B153B" w:rsidRPr="004205FB" w:rsidRDefault="009B153B" w:rsidP="00C865D0">
      <w:pPr>
        <w:pStyle w:val="ListBullet2"/>
      </w:pPr>
      <w:r w:rsidRPr="004205FB">
        <w:t xml:space="preserve">High flows above the </w:t>
      </w:r>
      <w:r>
        <w:t>18.13% AEP (</w:t>
      </w:r>
      <w:r w:rsidRPr="004205FB">
        <w:t xml:space="preserve">1 in 5 year </w:t>
      </w:r>
      <w:r>
        <w:t xml:space="preserve">ARI) </w:t>
      </w:r>
      <w:r w:rsidRPr="004205FB">
        <w:t>event shall be diverted or the bioretention system protected by ‘feedback control’ to cause high flows to either bypass the asset or enter an overflow in proximity to the inlet after extended detention is filled</w:t>
      </w:r>
      <w:r>
        <w:t>.</w:t>
      </w:r>
    </w:p>
    <w:p w14:paraId="38798E79" w14:textId="77777777" w:rsidR="009B153B" w:rsidRDefault="009B153B" w:rsidP="00C865D0">
      <w:pPr>
        <w:pStyle w:val="ListBullet2"/>
      </w:pPr>
      <w:r w:rsidRPr="004205FB">
        <w:t>Flow velocities should not exceed 1 m/s over the planted filter media area for the 1%</w:t>
      </w:r>
      <w:r>
        <w:t> </w:t>
      </w:r>
      <w:r w:rsidRPr="004205FB">
        <w:t>AEP (1 in 100 year ARI) event</w:t>
      </w:r>
      <w:r>
        <w:t>.</w:t>
      </w:r>
    </w:p>
    <w:p w14:paraId="2A5B7EB1" w14:textId="77777777" w:rsidR="009B153B" w:rsidRPr="00C865D0" w:rsidRDefault="009B153B" w:rsidP="00C865D0">
      <w:pPr>
        <w:pStyle w:val="ListBullet"/>
        <w:rPr>
          <w:b/>
          <w:bCs/>
        </w:rPr>
      </w:pPr>
      <w:r w:rsidRPr="00C865D0">
        <w:rPr>
          <w:b/>
          <w:bCs/>
        </w:rPr>
        <w:t>Design configuration</w:t>
      </w:r>
    </w:p>
    <w:p w14:paraId="131811C3" w14:textId="77777777" w:rsidR="009B153B" w:rsidRPr="004205FB" w:rsidRDefault="009B153B" w:rsidP="00C865D0">
      <w:pPr>
        <w:pStyle w:val="ListBullet2"/>
      </w:pPr>
      <w:r w:rsidRPr="004205FB">
        <w:t xml:space="preserve">The EDD shall be </w:t>
      </w:r>
      <w:r>
        <w:t xml:space="preserve">less than or equal to </w:t>
      </w:r>
      <w:r w:rsidRPr="004205FB">
        <w:t>300 mm</w:t>
      </w:r>
      <w:r>
        <w:t>.</w:t>
      </w:r>
    </w:p>
    <w:p w14:paraId="1D6E27EE" w14:textId="77777777" w:rsidR="009B153B" w:rsidRPr="004205FB" w:rsidRDefault="009B153B" w:rsidP="00C865D0">
      <w:pPr>
        <w:pStyle w:val="ListBullet2"/>
      </w:pPr>
      <w:r>
        <w:t>Underd</w:t>
      </w:r>
      <w:r w:rsidRPr="004205FB">
        <w:t>rainage with an invert at a depth of at least 500 mm shall be included to ensure the root zone remains aerated</w:t>
      </w:r>
      <w:r>
        <w:t>.</w:t>
      </w:r>
    </w:p>
    <w:p w14:paraId="25FE90E2" w14:textId="77777777" w:rsidR="009B153B" w:rsidRDefault="009B153B" w:rsidP="00C865D0">
      <w:pPr>
        <w:pStyle w:val="ListBullet2"/>
      </w:pPr>
      <w:r>
        <w:t>Tree species should be suitable for the wetting and drying conditions expected within a bioretention and deciduous trees should generally be avoided due to significant seasonal leaf drop which may lead to clogging.</w:t>
      </w:r>
    </w:p>
    <w:p w14:paraId="3208E327" w14:textId="77777777" w:rsidR="009B153B" w:rsidRPr="00C865D0" w:rsidRDefault="009B153B" w:rsidP="00C865D0">
      <w:pPr>
        <w:pStyle w:val="ListBullet"/>
        <w:rPr>
          <w:b/>
          <w:bCs/>
        </w:rPr>
      </w:pPr>
      <w:r w:rsidRPr="00C865D0">
        <w:rPr>
          <w:b/>
          <w:bCs/>
        </w:rPr>
        <w:t>Soil moisture and wetting and drying conditions</w:t>
      </w:r>
    </w:p>
    <w:p w14:paraId="19FF19B9" w14:textId="77777777" w:rsidR="009B153B" w:rsidRDefault="009B153B" w:rsidP="00C865D0">
      <w:pPr>
        <w:pStyle w:val="BodyText"/>
        <w:ind w:left="170"/>
      </w:pPr>
      <w:r>
        <w:t>The following specifications are intended to ensure that soil moisture conditions are suitable to sustain plants:</w:t>
      </w:r>
    </w:p>
    <w:p w14:paraId="6A8A9DC7" w14:textId="77777777" w:rsidR="009B153B" w:rsidRDefault="009B153B" w:rsidP="00C865D0">
      <w:pPr>
        <w:pStyle w:val="ListBullet2"/>
      </w:pPr>
      <w:r w:rsidRPr="004205FB">
        <w:t xml:space="preserve">The filter media depth shall be </w:t>
      </w:r>
      <w:r>
        <w:t>5</w:t>
      </w:r>
      <w:r w:rsidRPr="004205FB">
        <w:t>00-</w:t>
      </w:r>
      <w:r>
        <w:t>6</w:t>
      </w:r>
      <w:r w:rsidRPr="004205FB">
        <w:t>00 mm for standard planting</w:t>
      </w:r>
      <w:r>
        <w:t xml:space="preserve"> and may be 500-800 mm for bioretention assets with tree planting. Lesser filter media depths may only be considered for highly constrained sites. Lesser depths will not be accepted where it is possible to achieve a depth of 500 mm.</w:t>
      </w:r>
    </w:p>
    <w:p w14:paraId="62D3D7BF" w14:textId="77777777" w:rsidR="009B153B" w:rsidRDefault="009B153B" w:rsidP="00C865D0">
      <w:pPr>
        <w:pStyle w:val="ListBullet2"/>
      </w:pPr>
      <w:r w:rsidRPr="004205FB">
        <w:lastRenderedPageBreak/>
        <w:t xml:space="preserve">A submerged zone </w:t>
      </w:r>
      <w:r>
        <w:t xml:space="preserve">is required for all bioretention assets designed within the City and </w:t>
      </w:r>
      <w:r w:rsidRPr="004205FB">
        <w:t>should be included below the outlet invert</w:t>
      </w:r>
      <w:r>
        <w:t xml:space="preserve">. The submerged zone must not be less than 300 mm and should preferably have a depth of 450-500 mm in total (including transition and drainage layer). It is recommended the submerged zone include an appropriate carbon source to support denitrification. </w:t>
      </w:r>
    </w:p>
    <w:p w14:paraId="7408AF46" w14:textId="77777777" w:rsidR="009B153B" w:rsidRDefault="009B153B" w:rsidP="00C865D0">
      <w:pPr>
        <w:pStyle w:val="ListBullet2"/>
      </w:pPr>
      <w:r>
        <w:t>The saturated hydraulic conductivity of filter media must be within 100-300 mm/hour and it is recommended it should not exceed 200 mm/hour. Hydraulic conductivity should be modelled at 100 mm/hour to allow for potential decline in infiltration capacity due to sediment clogging over time.</w:t>
      </w:r>
    </w:p>
    <w:p w14:paraId="0C38F80F" w14:textId="77777777" w:rsidR="009B153B" w:rsidRDefault="009B153B" w:rsidP="00C865D0">
      <w:pPr>
        <w:pStyle w:val="ListBullet2"/>
      </w:pPr>
      <w:r>
        <w:t>It is essential to ensure bioretention assets retain enough moisture within the filter media, submerged zone and surrounding soils to sustain plants through dry periods. Where any of the above 3 items will be compromised the following is required:</w:t>
      </w:r>
    </w:p>
    <w:p w14:paraId="00911305" w14:textId="77777777" w:rsidR="009B153B" w:rsidRDefault="009B153B" w:rsidP="00C865D0">
      <w:pPr>
        <w:pStyle w:val="ListBullet3"/>
        <w:numPr>
          <w:ilvl w:val="2"/>
          <w:numId w:val="21"/>
        </w:numPr>
      </w:pPr>
      <w:r>
        <w:t>Confirm that no other element will be compromised</w:t>
      </w:r>
    </w:p>
    <w:p w14:paraId="589369CD" w14:textId="77777777" w:rsidR="009B153B" w:rsidRDefault="009B153B" w:rsidP="00C865D0">
      <w:pPr>
        <w:pStyle w:val="ListBullet3"/>
        <w:numPr>
          <w:ilvl w:val="2"/>
          <w:numId w:val="21"/>
        </w:numPr>
      </w:pPr>
      <w:r>
        <w:t>Laboratory testing of the filter media demonstrating the soil moisture retention capacity of the filter media at a root zone depth of 300 mm is at least 15%.</w:t>
      </w:r>
    </w:p>
    <w:p w14:paraId="2A4EC626" w14:textId="77777777" w:rsidR="009B153B" w:rsidRDefault="009B153B" w:rsidP="00C865D0">
      <w:pPr>
        <w:pStyle w:val="ListBullet3"/>
        <w:numPr>
          <w:ilvl w:val="2"/>
          <w:numId w:val="21"/>
        </w:numPr>
      </w:pPr>
      <w:r>
        <w:t>Laboratory testing of the filter media demonstrating that the hydraulic conductivity will be within 100-200 mm/hour (if filter media or submerged zone depth reduced)</w:t>
      </w:r>
    </w:p>
    <w:p w14:paraId="2B147B98" w14:textId="77777777" w:rsidR="009B153B" w:rsidRDefault="009B153B" w:rsidP="00C865D0">
      <w:pPr>
        <w:pStyle w:val="ListBullet3"/>
        <w:numPr>
          <w:ilvl w:val="2"/>
          <w:numId w:val="21"/>
        </w:numPr>
      </w:pPr>
      <w:r>
        <w:t>Compensation of loss of soil moisture where practical through:</w:t>
      </w:r>
    </w:p>
    <w:p w14:paraId="4BD63D40" w14:textId="77777777" w:rsidR="009B153B" w:rsidRDefault="009B153B" w:rsidP="00C865D0">
      <w:pPr>
        <w:pStyle w:val="ListBullet5"/>
        <w:numPr>
          <w:ilvl w:val="4"/>
          <w:numId w:val="22"/>
        </w:numPr>
      </w:pPr>
      <w:r>
        <w:t>Increased depth of filter media or submerged zone.</w:t>
      </w:r>
    </w:p>
    <w:p w14:paraId="74F8A194" w14:textId="77777777" w:rsidR="009B153B" w:rsidRDefault="009B153B" w:rsidP="00C865D0">
      <w:pPr>
        <w:pStyle w:val="ListBullet5"/>
        <w:numPr>
          <w:ilvl w:val="4"/>
          <w:numId w:val="22"/>
        </w:numPr>
      </w:pPr>
      <w:r>
        <w:t>Choosing plant species with a high level of drought tolerance.</w:t>
      </w:r>
    </w:p>
    <w:p w14:paraId="015BA919" w14:textId="77777777" w:rsidR="009B153B" w:rsidRDefault="009B153B" w:rsidP="00C865D0">
      <w:pPr>
        <w:pStyle w:val="ListBullet3"/>
        <w:numPr>
          <w:ilvl w:val="2"/>
          <w:numId w:val="21"/>
        </w:numPr>
      </w:pPr>
      <w:r>
        <w:t>A spells analysis indicating the filter media will not experience soil moisture conditions at or below wilting point for more than 20 days within a 10 year period (this can be determined with a spells analysis of soil moisture).</w:t>
      </w:r>
    </w:p>
    <w:p w14:paraId="3472E126" w14:textId="77777777" w:rsidR="009B153B" w:rsidRDefault="009B153B" w:rsidP="00C865D0">
      <w:pPr>
        <w:pStyle w:val="ListBullet2"/>
      </w:pPr>
      <w:r w:rsidRPr="004205FB">
        <w:t>The asset must not be subject to continuous or long duration flows.</w:t>
      </w:r>
    </w:p>
    <w:p w14:paraId="36344A12" w14:textId="77777777" w:rsidR="009B153B" w:rsidRDefault="009B153B" w:rsidP="006D63E0">
      <w:pPr>
        <w:spacing w:before="240"/>
      </w:pPr>
      <w:r>
        <w:t>The design of a bioretention asset should take into consideration the following:</w:t>
      </w:r>
    </w:p>
    <w:p w14:paraId="0F0A5CA9" w14:textId="77777777" w:rsidR="009B153B" w:rsidRDefault="009B153B" w:rsidP="006D63E0">
      <w:pPr>
        <w:pStyle w:val="ListBullet"/>
      </w:pPr>
      <w:r>
        <w:t>Asset dimensions and potential issues with large bioretention assets.</w:t>
      </w:r>
    </w:p>
    <w:p w14:paraId="1B917F89" w14:textId="77777777" w:rsidR="009B153B" w:rsidRDefault="009B153B" w:rsidP="006D63E0">
      <w:pPr>
        <w:pStyle w:val="ListBullet"/>
      </w:pPr>
      <w:r>
        <w:t>Catchment sediment loads and sediment management to minimise clogging risks.</w:t>
      </w:r>
    </w:p>
    <w:p w14:paraId="37D670D4" w14:textId="77777777" w:rsidR="009B153B" w:rsidRDefault="009B153B" w:rsidP="006D63E0">
      <w:pPr>
        <w:pStyle w:val="ListBullet"/>
      </w:pPr>
      <w:r>
        <w:t>Soil moisture conditions.</w:t>
      </w:r>
    </w:p>
    <w:p w14:paraId="38B3487D" w14:textId="77777777" w:rsidR="009B153B" w:rsidRDefault="009B153B" w:rsidP="006D63E0">
      <w:pPr>
        <w:pStyle w:val="ListBullet"/>
      </w:pPr>
      <w:r>
        <w:t>Infiltration and the capacity of underlying soils to absorb and drain away water including soil conditions and any layering, depth to rock, depth to groundwater and slope.</w:t>
      </w:r>
    </w:p>
    <w:p w14:paraId="50F0A439" w14:textId="77777777" w:rsidR="009B153B" w:rsidRDefault="009B153B" w:rsidP="006D63E0">
      <w:pPr>
        <w:pStyle w:val="ListBullet"/>
      </w:pPr>
      <w:r>
        <w:t>Proximity to infrastructure that may be affected by infiltration and provision of adequate offset distances.</w:t>
      </w:r>
    </w:p>
    <w:p w14:paraId="3AD8FD1E" w14:textId="77777777" w:rsidR="009B153B" w:rsidRDefault="009B153B" w:rsidP="009B153B"/>
    <w:p w14:paraId="31733CA5" w14:textId="33DAEBC9" w:rsidR="009B153B" w:rsidRPr="00F171AE" w:rsidRDefault="00C865D0" w:rsidP="006D63E0">
      <w:pPr>
        <w:pStyle w:val="Heading2"/>
      </w:pPr>
      <w:bookmarkStart w:id="23" w:name="_Toc184645961"/>
      <w:r>
        <w:t>6.1</w:t>
      </w:r>
      <w:r>
        <w:tab/>
      </w:r>
      <w:r w:rsidR="009B153B" w:rsidRPr="00F171AE">
        <w:t>Asset dimensions</w:t>
      </w:r>
      <w:r w:rsidR="009B153B">
        <w:t xml:space="preserve"> and large bioretention assets</w:t>
      </w:r>
      <w:bookmarkEnd w:id="23"/>
    </w:p>
    <w:p w14:paraId="2CEA4A21" w14:textId="77777777" w:rsidR="009B153B" w:rsidRDefault="009B153B" w:rsidP="009B153B">
      <w:r>
        <w:t>Bioretention assets should be designed within the following dimensional ranges:</w:t>
      </w:r>
    </w:p>
    <w:p w14:paraId="332A92B4" w14:textId="77777777" w:rsidR="009B153B" w:rsidRDefault="009B153B" w:rsidP="009B153B"/>
    <w:p w14:paraId="034ADE82" w14:textId="77777777" w:rsidR="009B153B" w:rsidRDefault="009B153B" w:rsidP="006D63E0">
      <w:pPr>
        <w:pStyle w:val="ListBullet"/>
      </w:pPr>
      <w:r>
        <w:t>Maximum recommended cell size 800 m</w:t>
      </w:r>
      <w:r w:rsidRPr="008E5183">
        <w:rPr>
          <w:vertAlign w:val="superscript"/>
        </w:rPr>
        <w:t>2</w:t>
      </w:r>
      <w:r>
        <w:t>.</w:t>
      </w:r>
    </w:p>
    <w:p w14:paraId="6A46CFE8" w14:textId="77777777" w:rsidR="009B153B" w:rsidRPr="00F171AE" w:rsidRDefault="009B153B" w:rsidP="006D63E0">
      <w:pPr>
        <w:pStyle w:val="ListBullet"/>
        <w:rPr>
          <w:sz w:val="20"/>
          <w:szCs w:val="20"/>
        </w:rPr>
      </w:pPr>
      <w:r>
        <w:lastRenderedPageBreak/>
        <w:t>Minimum width 600mm, &gt;1 m recommended.</w:t>
      </w:r>
    </w:p>
    <w:p w14:paraId="39A2D758" w14:textId="77777777" w:rsidR="009B153B" w:rsidRDefault="009B153B" w:rsidP="006D63E0">
      <w:pPr>
        <w:pStyle w:val="ListBullet"/>
      </w:pPr>
      <w:r>
        <w:t>Maximum width of 14m where construction access is available from opposite sides.</w:t>
      </w:r>
    </w:p>
    <w:p w14:paraId="372C1034" w14:textId="77777777" w:rsidR="009B153B" w:rsidRDefault="009B153B" w:rsidP="006D63E0">
      <w:pPr>
        <w:pStyle w:val="ListBullet"/>
      </w:pPr>
      <w:r>
        <w:t>Maximum width of 7m where construction access is available from only one side.</w:t>
      </w:r>
    </w:p>
    <w:p w14:paraId="30766E70" w14:textId="77777777" w:rsidR="009B153B" w:rsidRDefault="009B153B" w:rsidP="006D63E0">
      <w:pPr>
        <w:pStyle w:val="ListBullet"/>
      </w:pPr>
      <w:r>
        <w:t>Inlets should be designed to ensure inflows will be evenly distributed across the bioretention surface area. This may be achieved using multiple inlets, flush kerbs, weirs, slotted pipe, distribution channels or other methods of distribution where approved. The use of a single large inlet without some form of distribution should be avoided for assets over 100 m</w:t>
      </w:r>
      <w:r w:rsidRPr="002F38CA">
        <w:rPr>
          <w:vertAlign w:val="superscript"/>
        </w:rPr>
        <w:t>2</w:t>
      </w:r>
      <w:r>
        <w:t>.</w:t>
      </w:r>
    </w:p>
    <w:p w14:paraId="4A778678" w14:textId="77777777" w:rsidR="009B153B" w:rsidRDefault="009B153B" w:rsidP="006D63E0">
      <w:pPr>
        <w:spacing w:before="240"/>
      </w:pPr>
      <w:r>
        <w:t>Where a site will have a total surface area of bioretention &gt;800 m</w:t>
      </w:r>
      <w:r w:rsidRPr="00F171AE">
        <w:rPr>
          <w:vertAlign w:val="superscript"/>
        </w:rPr>
        <w:t>2</w:t>
      </w:r>
      <w:r>
        <w:t xml:space="preserve">, serious consideration should be given to preferentially using a wetland and the designer shall be responsible for ensuring the bioretention surface will not be continually or excessively frequently wet by interflow or baseflow leading to excessive algal growth and/or clogging. </w:t>
      </w:r>
    </w:p>
    <w:p w14:paraId="666E83E1" w14:textId="77777777" w:rsidR="009B153B" w:rsidRDefault="009B153B" w:rsidP="006D63E0">
      <w:pPr>
        <w:spacing w:before="120"/>
      </w:pPr>
      <w:r>
        <w:t>For larger catchments, wetlands are generally preferred as they tend to be more resilient, require less maintenance, provide greater amenity and cope better with persistent baseflows that are more likely to occur in larger catchments.</w:t>
      </w:r>
    </w:p>
    <w:p w14:paraId="38C64A39" w14:textId="77777777" w:rsidR="009B153B" w:rsidRDefault="009B153B" w:rsidP="009B153B"/>
    <w:p w14:paraId="2A1A2D5F" w14:textId="3C142EF6" w:rsidR="009B153B" w:rsidRPr="00FC2CC7" w:rsidRDefault="00C865D0" w:rsidP="006D63E0">
      <w:pPr>
        <w:pStyle w:val="Heading2"/>
      </w:pPr>
      <w:bookmarkStart w:id="24" w:name="_Toc184645962"/>
      <w:r>
        <w:t>6.2</w:t>
      </w:r>
      <w:r>
        <w:tab/>
      </w:r>
      <w:r w:rsidR="009B153B" w:rsidRPr="00FC2CC7">
        <w:t>Design to manage sediment loads</w:t>
      </w:r>
      <w:bookmarkEnd w:id="24"/>
    </w:p>
    <w:p w14:paraId="494B65FC" w14:textId="77777777" w:rsidR="009B153B" w:rsidRDefault="009B153B" w:rsidP="006D63E0">
      <w:pPr>
        <w:spacing w:after="120"/>
      </w:pPr>
      <w:r>
        <w:t>Bioretention assets treating larger catchments may receive significant sediment loads that can cause clogging and impact upon treatment performance. These are usually due to:</w:t>
      </w:r>
    </w:p>
    <w:p w14:paraId="6C945188" w14:textId="77777777" w:rsidR="009B153B" w:rsidRDefault="009B153B" w:rsidP="006D63E0">
      <w:pPr>
        <w:pStyle w:val="ListBullet"/>
      </w:pPr>
      <w:r>
        <w:t>Construction and building activity in the catchment.</w:t>
      </w:r>
    </w:p>
    <w:p w14:paraId="1108B835" w14:textId="77777777" w:rsidR="009B153B" w:rsidRDefault="009B153B" w:rsidP="006D63E0">
      <w:pPr>
        <w:pStyle w:val="ListBullet"/>
      </w:pPr>
      <w:r>
        <w:t xml:space="preserve">Sediment inflows to large assets that: </w:t>
      </w:r>
    </w:p>
    <w:p w14:paraId="168F8F04" w14:textId="77777777" w:rsidR="009B153B" w:rsidRDefault="009B153B" w:rsidP="006D63E0">
      <w:pPr>
        <w:pStyle w:val="ListBullet2"/>
      </w:pPr>
      <w:r>
        <w:t xml:space="preserve">Are online to the main flow path. </w:t>
      </w:r>
    </w:p>
    <w:p w14:paraId="1C6E440D" w14:textId="77777777" w:rsidR="009B153B" w:rsidRDefault="009B153B" w:rsidP="006D63E0">
      <w:pPr>
        <w:pStyle w:val="ListBullet2"/>
      </w:pPr>
      <w:r>
        <w:t xml:space="preserve">Receive bed load. </w:t>
      </w:r>
    </w:p>
    <w:p w14:paraId="4D357805" w14:textId="77777777" w:rsidR="009B153B" w:rsidRDefault="009B153B" w:rsidP="006D63E0">
      <w:pPr>
        <w:pStyle w:val="ListBullet2"/>
      </w:pPr>
      <w:r>
        <w:t>Receive large event inflows and associated sediment.</w:t>
      </w:r>
    </w:p>
    <w:p w14:paraId="174A34BB" w14:textId="77777777" w:rsidR="009B153B" w:rsidRDefault="009B153B" w:rsidP="006D63E0">
      <w:pPr>
        <w:pStyle w:val="ListBullet"/>
      </w:pPr>
      <w:r>
        <w:t>Fine sediment accumulation in catchments with dispersive clay soils.</w:t>
      </w:r>
    </w:p>
    <w:p w14:paraId="14D5A667" w14:textId="3B1D16D7" w:rsidR="009B153B" w:rsidRDefault="009B153B" w:rsidP="006D63E0">
      <w:pPr>
        <w:spacing w:before="240"/>
      </w:pPr>
      <w:r>
        <w:t xml:space="preserve">Upstream sediment management responses should be designed to minimise sediment inflows to bioretention assets as much as possible. A guide to sediment management responses at different scales is provided in </w:t>
      </w:r>
      <w:r>
        <w:fldChar w:fldCharType="begin"/>
      </w:r>
      <w:r>
        <w:instrText xml:space="preserve"> REF _Ref12374995 \h </w:instrText>
      </w:r>
      <w:r>
        <w:fldChar w:fldCharType="separate"/>
      </w:r>
      <w:r w:rsidR="00E228A6" w:rsidRPr="006B4235">
        <w:rPr>
          <w:rFonts w:cs="Helvetica"/>
        </w:rPr>
        <w:t xml:space="preserve">Table </w:t>
      </w:r>
      <w:r w:rsidR="00E228A6">
        <w:rPr>
          <w:rFonts w:cs="Helvetica"/>
          <w:noProof/>
        </w:rPr>
        <w:t>1</w:t>
      </w:r>
      <w:r>
        <w:fldChar w:fldCharType="end"/>
      </w:r>
      <w:r>
        <w:t xml:space="preserve"> and design requirements are provided in </w:t>
      </w:r>
      <w:r>
        <w:fldChar w:fldCharType="begin"/>
      </w:r>
      <w:r>
        <w:instrText xml:space="preserve"> REF _Ref12363939 \h </w:instrText>
      </w:r>
      <w:r>
        <w:fldChar w:fldCharType="separate"/>
      </w:r>
      <w:r w:rsidR="00E228A6" w:rsidRPr="006B4235">
        <w:rPr>
          <w:rFonts w:cs="Helvetica"/>
        </w:rPr>
        <w:t xml:space="preserve">Table </w:t>
      </w:r>
      <w:r w:rsidR="00E228A6">
        <w:rPr>
          <w:rFonts w:cs="Helvetica"/>
          <w:noProof/>
        </w:rPr>
        <w:t>2</w:t>
      </w:r>
      <w:r>
        <w:fldChar w:fldCharType="end"/>
      </w:r>
      <w:r>
        <w:t xml:space="preserve">. </w:t>
      </w:r>
    </w:p>
    <w:p w14:paraId="635D874C" w14:textId="77777777" w:rsidR="009B153B" w:rsidRDefault="009B153B" w:rsidP="006D63E0">
      <w:pPr>
        <w:spacing w:before="120"/>
      </w:pPr>
      <w:r>
        <w:t xml:space="preserve">Any upstream sediment pond must be designed in </w:t>
      </w:r>
      <w:r w:rsidRPr="005F76E8">
        <w:t xml:space="preserve">accordance with the </w:t>
      </w:r>
      <w:r w:rsidRPr="006D63E0">
        <w:rPr>
          <w:i/>
        </w:rPr>
        <w:t>Draft Melbourne Water Design Guide: Bioretention systems in Melbourne Water Development Services Schemes</w:t>
      </w:r>
      <w:r>
        <w:t xml:space="preserve"> </w:t>
      </w:r>
      <w:r w:rsidR="006D63E0">
        <w:t>(Melbourne Water, 2019).</w:t>
      </w:r>
    </w:p>
    <w:p w14:paraId="161C4C33" w14:textId="77777777" w:rsidR="009B153B" w:rsidRDefault="009B153B" w:rsidP="006D63E0">
      <w:pPr>
        <w:spacing w:before="120"/>
      </w:pPr>
      <w:r>
        <w:t>While sediment management tends to target coarse sediment, it is important to understand that it is the fine fraction (2-6 µm) that causes the greatest clogging effect in bioretention assets and this should be considered in the design.</w:t>
      </w:r>
    </w:p>
    <w:p w14:paraId="56A3EEFB" w14:textId="77777777" w:rsidR="009B153B" w:rsidRDefault="009B153B" w:rsidP="009B153B"/>
    <w:p w14:paraId="6A1404B3" w14:textId="674EF28D" w:rsidR="009B153B" w:rsidRPr="006B4235" w:rsidRDefault="009B153B" w:rsidP="006D63E0">
      <w:pPr>
        <w:pStyle w:val="Caption"/>
        <w:jc w:val="center"/>
        <w:rPr>
          <w:rFonts w:cs="Helvetica"/>
        </w:rPr>
      </w:pPr>
      <w:bookmarkStart w:id="25" w:name="_Ref12374995"/>
      <w:bookmarkStart w:id="26" w:name="_Toc184646015"/>
      <w:r w:rsidRPr="006B4235">
        <w:rPr>
          <w:rFonts w:cs="Helvetica"/>
        </w:rPr>
        <w:lastRenderedPageBreak/>
        <w:t xml:space="preserve">Table </w:t>
      </w:r>
      <w:r w:rsidR="009F7837">
        <w:rPr>
          <w:rFonts w:cs="Helvetica"/>
        </w:rPr>
        <w:fldChar w:fldCharType="begin"/>
      </w:r>
      <w:r w:rsidR="009F7837">
        <w:rPr>
          <w:rFonts w:cs="Helvetica"/>
        </w:rPr>
        <w:instrText xml:space="preserve"> SEQ Table \* ARABIC </w:instrText>
      </w:r>
      <w:r w:rsidR="009F7837">
        <w:rPr>
          <w:rFonts w:cs="Helvetica"/>
        </w:rPr>
        <w:fldChar w:fldCharType="separate"/>
      </w:r>
      <w:r w:rsidR="00E228A6">
        <w:rPr>
          <w:rFonts w:cs="Helvetica"/>
          <w:noProof/>
        </w:rPr>
        <w:t>1</w:t>
      </w:r>
      <w:r w:rsidR="009F7837">
        <w:rPr>
          <w:rFonts w:cs="Helvetica"/>
        </w:rPr>
        <w:fldChar w:fldCharType="end"/>
      </w:r>
      <w:bookmarkEnd w:id="25"/>
      <w:r w:rsidR="006D63E0">
        <w:rPr>
          <w:rFonts w:cs="Helvetica"/>
          <w:noProof/>
        </w:rPr>
        <w:t>:</w:t>
      </w:r>
      <w:r w:rsidRPr="006B4235">
        <w:rPr>
          <w:rFonts w:cs="Helvetica"/>
        </w:rPr>
        <w:t xml:space="preserve"> </w:t>
      </w:r>
      <w:r>
        <w:rPr>
          <w:rFonts w:cs="Helvetica"/>
        </w:rPr>
        <w:t>Catchment ranges for coarse sediment forebays and ponds</w:t>
      </w:r>
      <w:r w:rsidR="00CF1300">
        <w:rPr>
          <w:rFonts w:cs="Helvetica"/>
        </w:rPr>
        <w:t>.</w:t>
      </w:r>
      <w:bookmarkEnd w:id="26"/>
    </w:p>
    <w:tbl>
      <w:tblPr>
        <w:tblStyle w:val="TableGrid"/>
        <w:tblW w:w="9067" w:type="dxa"/>
        <w:tblLook w:val="0620" w:firstRow="1" w:lastRow="0" w:firstColumn="0" w:lastColumn="0" w:noHBand="1" w:noVBand="1"/>
      </w:tblPr>
      <w:tblGrid>
        <w:gridCol w:w="3969"/>
        <w:gridCol w:w="5098"/>
      </w:tblGrid>
      <w:tr w:rsidR="009B153B" w14:paraId="2FE28CCB" w14:textId="77777777" w:rsidTr="006D63E0">
        <w:trPr>
          <w:cnfStyle w:val="100000000000" w:firstRow="1" w:lastRow="0" w:firstColumn="0" w:lastColumn="0" w:oddVBand="0" w:evenVBand="0" w:oddHBand="0" w:evenHBand="0" w:firstRowFirstColumn="0" w:firstRowLastColumn="0" w:lastRowFirstColumn="0" w:lastRowLastColumn="0"/>
        </w:trPr>
        <w:tc>
          <w:tcPr>
            <w:tcW w:w="3969" w:type="dxa"/>
          </w:tcPr>
          <w:p w14:paraId="1D0527FD" w14:textId="77777777" w:rsidR="009B153B" w:rsidRPr="005D36D9" w:rsidRDefault="009B153B" w:rsidP="006D63E0">
            <w:pPr>
              <w:pStyle w:val="TableText"/>
              <w:jc w:val="center"/>
              <w:rPr>
                <w:b w:val="0"/>
              </w:rPr>
            </w:pPr>
            <w:r w:rsidRPr="005D36D9">
              <w:t>Area</w:t>
            </w:r>
          </w:p>
        </w:tc>
        <w:tc>
          <w:tcPr>
            <w:tcW w:w="5098" w:type="dxa"/>
          </w:tcPr>
          <w:p w14:paraId="69DBCA08" w14:textId="77777777" w:rsidR="009B153B" w:rsidRPr="005D36D9" w:rsidRDefault="009B153B" w:rsidP="006D63E0">
            <w:pPr>
              <w:pStyle w:val="TableText"/>
              <w:jc w:val="center"/>
              <w:rPr>
                <w:b w:val="0"/>
              </w:rPr>
            </w:pPr>
            <w:r w:rsidRPr="005D36D9">
              <w:t>Coarse sediment management</w:t>
            </w:r>
          </w:p>
        </w:tc>
      </w:tr>
      <w:tr w:rsidR="009B153B" w14:paraId="12153EA5" w14:textId="77777777" w:rsidTr="006D63E0">
        <w:tc>
          <w:tcPr>
            <w:tcW w:w="3969" w:type="dxa"/>
          </w:tcPr>
          <w:p w14:paraId="21401333" w14:textId="77777777" w:rsidR="009B153B" w:rsidRPr="005D36D9" w:rsidRDefault="009B153B" w:rsidP="006D63E0">
            <w:pPr>
              <w:pStyle w:val="TableText"/>
            </w:pPr>
            <w:r w:rsidRPr="005D36D9">
              <w:t>Roof catchment only &lt; 2 ha</w:t>
            </w:r>
          </w:p>
        </w:tc>
        <w:tc>
          <w:tcPr>
            <w:tcW w:w="5098" w:type="dxa"/>
          </w:tcPr>
          <w:p w14:paraId="322D61FF" w14:textId="77777777" w:rsidR="009B153B" w:rsidRPr="005D36D9" w:rsidRDefault="009B153B" w:rsidP="006D63E0">
            <w:pPr>
              <w:pStyle w:val="TableText"/>
            </w:pPr>
            <w:r w:rsidRPr="005D36D9">
              <w:t>None</w:t>
            </w:r>
          </w:p>
        </w:tc>
      </w:tr>
      <w:tr w:rsidR="009B153B" w14:paraId="31BE123D" w14:textId="77777777" w:rsidTr="006D63E0">
        <w:tc>
          <w:tcPr>
            <w:tcW w:w="3969" w:type="dxa"/>
          </w:tcPr>
          <w:p w14:paraId="5410EC99" w14:textId="77777777" w:rsidR="009B153B" w:rsidRPr="005D36D9" w:rsidRDefault="009B153B" w:rsidP="006D63E0">
            <w:pPr>
              <w:pStyle w:val="TableText"/>
            </w:pPr>
            <w:r w:rsidRPr="005D36D9">
              <w:t>Catchment &lt; 2 ha and</w:t>
            </w:r>
          </w:p>
          <w:p w14:paraId="28518D50" w14:textId="77777777" w:rsidR="009B153B" w:rsidRPr="005D36D9" w:rsidRDefault="009B153B" w:rsidP="006D63E0">
            <w:pPr>
              <w:pStyle w:val="TableText"/>
            </w:pPr>
            <w:r>
              <w:t>Total f</w:t>
            </w:r>
            <w:r w:rsidRPr="005D36D9">
              <w:t>ilter surface area &lt; 100 m</w:t>
            </w:r>
            <w:r w:rsidRPr="005D36D9">
              <w:rPr>
                <w:vertAlign w:val="superscript"/>
              </w:rPr>
              <w:t>2</w:t>
            </w:r>
          </w:p>
        </w:tc>
        <w:tc>
          <w:tcPr>
            <w:tcW w:w="5098" w:type="dxa"/>
          </w:tcPr>
          <w:p w14:paraId="5BA706D5" w14:textId="77777777" w:rsidR="009B153B" w:rsidRPr="005D36D9" w:rsidRDefault="009B153B" w:rsidP="006D63E0">
            <w:pPr>
              <w:pStyle w:val="TableText"/>
            </w:pPr>
            <w:r w:rsidRPr="005D36D9">
              <w:t>None, where no road runoff received and sediment accumulation at inlet can be regularly assessed and cleared</w:t>
            </w:r>
          </w:p>
        </w:tc>
      </w:tr>
      <w:tr w:rsidR="009B153B" w14:paraId="245FB22F" w14:textId="77777777" w:rsidTr="006D63E0">
        <w:tc>
          <w:tcPr>
            <w:tcW w:w="3969" w:type="dxa"/>
          </w:tcPr>
          <w:p w14:paraId="63CE8779" w14:textId="77777777" w:rsidR="009B153B" w:rsidRPr="005D36D9" w:rsidRDefault="009B153B" w:rsidP="006D63E0">
            <w:pPr>
              <w:pStyle w:val="TableText"/>
            </w:pPr>
            <w:r w:rsidRPr="005D36D9">
              <w:t>2 ha ≤ Catchment ≤ 5 ha and</w:t>
            </w:r>
          </w:p>
          <w:p w14:paraId="05301A95" w14:textId="77777777" w:rsidR="009B153B" w:rsidRPr="005D36D9" w:rsidRDefault="009B153B" w:rsidP="006D63E0">
            <w:pPr>
              <w:pStyle w:val="TableText"/>
            </w:pPr>
            <w:r w:rsidRPr="005D36D9">
              <w:t>100 m</w:t>
            </w:r>
            <w:r w:rsidRPr="005D36D9">
              <w:rPr>
                <w:vertAlign w:val="superscript"/>
              </w:rPr>
              <w:t>2</w:t>
            </w:r>
            <w:r w:rsidRPr="005D36D9">
              <w:t xml:space="preserve"> ≤ </w:t>
            </w:r>
            <w:r>
              <w:t>Total f</w:t>
            </w:r>
            <w:r w:rsidRPr="005D36D9">
              <w:t>ilter surface area ≤ 800 m</w:t>
            </w:r>
            <w:r w:rsidRPr="005D36D9">
              <w:rPr>
                <w:vertAlign w:val="superscript"/>
              </w:rPr>
              <w:t>2</w:t>
            </w:r>
          </w:p>
        </w:tc>
        <w:tc>
          <w:tcPr>
            <w:tcW w:w="5098" w:type="dxa"/>
          </w:tcPr>
          <w:p w14:paraId="21786FA4" w14:textId="77777777" w:rsidR="009B153B" w:rsidRPr="005D36D9" w:rsidRDefault="009B153B" w:rsidP="006D63E0">
            <w:pPr>
              <w:pStyle w:val="TableText"/>
            </w:pPr>
            <w:r w:rsidRPr="005D36D9">
              <w:t>Vegetated swale, coarse sediment forebay or coarse sediment pond</w:t>
            </w:r>
          </w:p>
        </w:tc>
      </w:tr>
      <w:tr w:rsidR="009B153B" w14:paraId="386B9AF2" w14:textId="77777777" w:rsidTr="006D63E0">
        <w:tc>
          <w:tcPr>
            <w:tcW w:w="3969" w:type="dxa"/>
          </w:tcPr>
          <w:p w14:paraId="0643731E" w14:textId="77777777" w:rsidR="009B153B" w:rsidRPr="005D36D9" w:rsidRDefault="009B153B" w:rsidP="006D63E0">
            <w:pPr>
              <w:pStyle w:val="TableText"/>
            </w:pPr>
            <w:r w:rsidRPr="005D36D9">
              <w:t>Catchment &gt; 10 ha or</w:t>
            </w:r>
          </w:p>
          <w:p w14:paraId="64A408A8" w14:textId="77777777" w:rsidR="009B153B" w:rsidRPr="005D36D9" w:rsidRDefault="009B153B" w:rsidP="006D63E0">
            <w:pPr>
              <w:pStyle w:val="TableText"/>
            </w:pPr>
            <w:r>
              <w:t>Total f</w:t>
            </w:r>
            <w:r w:rsidRPr="005D36D9">
              <w:t>ilter surface area &gt; 800 m</w:t>
            </w:r>
            <w:r w:rsidRPr="005D36D9">
              <w:rPr>
                <w:vertAlign w:val="superscript"/>
              </w:rPr>
              <w:t>2</w:t>
            </w:r>
          </w:p>
        </w:tc>
        <w:tc>
          <w:tcPr>
            <w:tcW w:w="5098" w:type="dxa"/>
          </w:tcPr>
          <w:p w14:paraId="03ED0F2B" w14:textId="77777777" w:rsidR="009B153B" w:rsidRPr="005D36D9" w:rsidRDefault="009B153B" w:rsidP="006D63E0">
            <w:pPr>
              <w:pStyle w:val="TableText"/>
            </w:pPr>
            <w:r w:rsidRPr="005D36D9">
              <w:t>Coarse sediment pond</w:t>
            </w:r>
          </w:p>
        </w:tc>
      </w:tr>
    </w:tbl>
    <w:p w14:paraId="132403D8" w14:textId="77777777" w:rsidR="009B153B" w:rsidRDefault="009B153B" w:rsidP="006D63E0">
      <w:pPr>
        <w:jc w:val="center"/>
      </w:pPr>
    </w:p>
    <w:p w14:paraId="67B42559" w14:textId="260D9F57" w:rsidR="009B153B" w:rsidRDefault="009B153B" w:rsidP="009B153B">
      <w:r>
        <w:t>Design requirements for coarse sediment forebays and ponds is provided in</w:t>
      </w:r>
      <w:r>
        <w:rPr>
          <w:rFonts w:cs="Helvetica"/>
        </w:rPr>
        <w:t xml:space="preserve"> </w:t>
      </w:r>
      <w:r>
        <w:rPr>
          <w:rFonts w:cs="Helvetica"/>
        </w:rPr>
        <w:fldChar w:fldCharType="begin"/>
      </w:r>
      <w:r>
        <w:rPr>
          <w:rFonts w:cs="Helvetica"/>
        </w:rPr>
        <w:instrText xml:space="preserve"> REF _Ref12363939 \h </w:instrText>
      </w:r>
      <w:r>
        <w:rPr>
          <w:rFonts w:cs="Helvetica"/>
        </w:rPr>
      </w:r>
      <w:r>
        <w:rPr>
          <w:rFonts w:cs="Helvetica"/>
        </w:rPr>
        <w:fldChar w:fldCharType="separate"/>
      </w:r>
      <w:r w:rsidR="00E228A6" w:rsidRPr="006B4235">
        <w:rPr>
          <w:rFonts w:cs="Helvetica"/>
        </w:rPr>
        <w:t xml:space="preserve">Table </w:t>
      </w:r>
      <w:r w:rsidR="00E228A6">
        <w:rPr>
          <w:rFonts w:cs="Helvetica"/>
          <w:noProof/>
        </w:rPr>
        <w:t>2</w:t>
      </w:r>
      <w:r>
        <w:rPr>
          <w:rFonts w:cs="Helvetica"/>
        </w:rPr>
        <w:fldChar w:fldCharType="end"/>
      </w:r>
      <w:r>
        <w:rPr>
          <w:rFonts w:cs="Helvetica"/>
        </w:rPr>
        <w:t>.</w:t>
      </w:r>
      <w:bookmarkStart w:id="27" w:name="_Ref6215429"/>
    </w:p>
    <w:p w14:paraId="0509A3CC" w14:textId="44FB6F90" w:rsidR="009B153B" w:rsidRPr="006B4235" w:rsidRDefault="009B153B" w:rsidP="006D63E0">
      <w:pPr>
        <w:pStyle w:val="Caption"/>
        <w:jc w:val="center"/>
        <w:rPr>
          <w:rFonts w:cs="Helvetica"/>
        </w:rPr>
      </w:pPr>
      <w:bookmarkStart w:id="28" w:name="_Ref12363939"/>
      <w:bookmarkStart w:id="29" w:name="_Toc184646016"/>
      <w:r w:rsidRPr="006B4235">
        <w:rPr>
          <w:rFonts w:cs="Helvetica"/>
        </w:rPr>
        <w:t xml:space="preserve">Table </w:t>
      </w:r>
      <w:r w:rsidR="009F7837">
        <w:rPr>
          <w:rFonts w:cs="Helvetica"/>
        </w:rPr>
        <w:fldChar w:fldCharType="begin"/>
      </w:r>
      <w:r w:rsidR="009F7837">
        <w:rPr>
          <w:rFonts w:cs="Helvetica"/>
        </w:rPr>
        <w:instrText xml:space="preserve"> SEQ Table \* ARABIC </w:instrText>
      </w:r>
      <w:r w:rsidR="009F7837">
        <w:rPr>
          <w:rFonts w:cs="Helvetica"/>
        </w:rPr>
        <w:fldChar w:fldCharType="separate"/>
      </w:r>
      <w:r w:rsidR="00E228A6">
        <w:rPr>
          <w:rFonts w:cs="Helvetica"/>
          <w:noProof/>
        </w:rPr>
        <w:t>2</w:t>
      </w:r>
      <w:r w:rsidR="009F7837">
        <w:rPr>
          <w:rFonts w:cs="Helvetica"/>
        </w:rPr>
        <w:fldChar w:fldCharType="end"/>
      </w:r>
      <w:bookmarkEnd w:id="27"/>
      <w:bookmarkEnd w:id="28"/>
      <w:r w:rsidR="006D63E0">
        <w:rPr>
          <w:rFonts w:cs="Helvetica"/>
          <w:noProof/>
        </w:rPr>
        <w:t>:</w:t>
      </w:r>
      <w:r w:rsidRPr="006B4235">
        <w:rPr>
          <w:rFonts w:cs="Helvetica"/>
        </w:rPr>
        <w:t xml:space="preserve"> </w:t>
      </w:r>
      <w:r>
        <w:rPr>
          <w:rFonts w:cs="Helvetica"/>
        </w:rPr>
        <w:t>Design requirements for coarse sediment forebays and ponds</w:t>
      </w:r>
      <w:r w:rsidR="00CF1300">
        <w:rPr>
          <w:rFonts w:cs="Helvetica"/>
        </w:rPr>
        <w:t>.</w:t>
      </w:r>
      <w:bookmarkEnd w:id="29"/>
    </w:p>
    <w:tbl>
      <w:tblPr>
        <w:tblStyle w:val="TableGrid"/>
        <w:tblW w:w="0" w:type="auto"/>
        <w:tblLook w:val="0620" w:firstRow="1" w:lastRow="0" w:firstColumn="0" w:lastColumn="0" w:noHBand="1" w:noVBand="1"/>
      </w:tblPr>
      <w:tblGrid>
        <w:gridCol w:w="3031"/>
        <w:gridCol w:w="2965"/>
        <w:gridCol w:w="2735"/>
      </w:tblGrid>
      <w:tr w:rsidR="009B153B" w14:paraId="60870988" w14:textId="77777777" w:rsidTr="006D63E0">
        <w:trPr>
          <w:cnfStyle w:val="100000000000" w:firstRow="1" w:lastRow="0" w:firstColumn="0" w:lastColumn="0" w:oddVBand="0" w:evenVBand="0" w:oddHBand="0" w:evenHBand="0" w:firstRowFirstColumn="0" w:firstRowLastColumn="0" w:lastRowFirstColumn="0" w:lastRowLastColumn="0"/>
        </w:trPr>
        <w:tc>
          <w:tcPr>
            <w:tcW w:w="3121" w:type="dxa"/>
          </w:tcPr>
          <w:p w14:paraId="5DDD8221" w14:textId="77777777" w:rsidR="009B153B" w:rsidRPr="005D36D9" w:rsidRDefault="009B153B" w:rsidP="006D63E0">
            <w:pPr>
              <w:pStyle w:val="TableText"/>
              <w:jc w:val="center"/>
              <w:rPr>
                <w:b w:val="0"/>
              </w:rPr>
            </w:pPr>
            <w:r w:rsidRPr="005D36D9">
              <w:t>Area</w:t>
            </w:r>
          </w:p>
        </w:tc>
        <w:tc>
          <w:tcPr>
            <w:tcW w:w="3052" w:type="dxa"/>
          </w:tcPr>
          <w:p w14:paraId="15D60E99" w14:textId="77777777" w:rsidR="009B153B" w:rsidRPr="005D36D9" w:rsidRDefault="009B153B" w:rsidP="006D63E0">
            <w:pPr>
              <w:pStyle w:val="TableText"/>
              <w:jc w:val="center"/>
              <w:rPr>
                <w:b w:val="0"/>
              </w:rPr>
            </w:pPr>
            <w:r w:rsidRPr="005D36D9">
              <w:t>Coarse sediment forebay</w:t>
            </w:r>
          </w:p>
        </w:tc>
        <w:tc>
          <w:tcPr>
            <w:tcW w:w="2814" w:type="dxa"/>
          </w:tcPr>
          <w:p w14:paraId="4FFAB88E" w14:textId="77777777" w:rsidR="009B153B" w:rsidRPr="005D36D9" w:rsidRDefault="009B153B" w:rsidP="006D63E0">
            <w:pPr>
              <w:pStyle w:val="TableText"/>
              <w:jc w:val="center"/>
              <w:rPr>
                <w:b w:val="0"/>
              </w:rPr>
            </w:pPr>
            <w:r w:rsidRPr="005D36D9">
              <w:t>Coarse sediment pond</w:t>
            </w:r>
          </w:p>
        </w:tc>
      </w:tr>
      <w:tr w:rsidR="009B153B" w14:paraId="219B9E53" w14:textId="77777777" w:rsidTr="006D63E0">
        <w:tc>
          <w:tcPr>
            <w:tcW w:w="3121" w:type="dxa"/>
          </w:tcPr>
          <w:p w14:paraId="3785A077" w14:textId="77777777" w:rsidR="009B153B" w:rsidRPr="002166A5" w:rsidRDefault="009B153B" w:rsidP="006D63E0">
            <w:pPr>
              <w:pStyle w:val="TableText"/>
            </w:pPr>
            <w:r w:rsidRPr="002166A5">
              <w:t>Sediment capture</w:t>
            </w:r>
          </w:p>
        </w:tc>
        <w:tc>
          <w:tcPr>
            <w:tcW w:w="5866" w:type="dxa"/>
            <w:gridSpan w:val="2"/>
          </w:tcPr>
          <w:p w14:paraId="1C69CAF3" w14:textId="77777777" w:rsidR="009B153B" w:rsidRPr="002166A5" w:rsidRDefault="009B153B" w:rsidP="006D63E0">
            <w:pPr>
              <w:pStyle w:val="TableText"/>
              <w:rPr>
                <w:rFonts w:ascii="Arial" w:hAnsi="Arial" w:cs="Arial"/>
              </w:rPr>
            </w:pPr>
            <w:r w:rsidRPr="002166A5">
              <w:rPr>
                <w:rFonts w:ascii="Arial" w:hAnsi="Arial" w:cs="Arial"/>
              </w:rPr>
              <w:t>Capture 95% of coarse particles ≥125μm diameter from 4 EY (1 in 3</w:t>
            </w:r>
            <w:r>
              <w:rPr>
                <w:rFonts w:ascii="Arial" w:hAnsi="Arial" w:cs="Arial"/>
              </w:rPr>
              <w:t> </w:t>
            </w:r>
            <w:r w:rsidRPr="002166A5">
              <w:rPr>
                <w:rFonts w:ascii="Arial" w:hAnsi="Arial" w:cs="Arial"/>
              </w:rPr>
              <w:t>month ARI) flow</w:t>
            </w:r>
          </w:p>
        </w:tc>
      </w:tr>
      <w:tr w:rsidR="009B153B" w14:paraId="21A580D1" w14:textId="77777777" w:rsidTr="006D63E0">
        <w:tc>
          <w:tcPr>
            <w:tcW w:w="3121" w:type="dxa"/>
          </w:tcPr>
          <w:p w14:paraId="6A15AC05" w14:textId="77777777" w:rsidR="009B153B" w:rsidRPr="002166A5" w:rsidRDefault="009B153B" w:rsidP="006D63E0">
            <w:pPr>
              <w:pStyle w:val="TableText"/>
            </w:pPr>
            <w:r w:rsidRPr="002166A5">
              <w:t>Depth</w:t>
            </w:r>
          </w:p>
        </w:tc>
        <w:tc>
          <w:tcPr>
            <w:tcW w:w="3052" w:type="dxa"/>
          </w:tcPr>
          <w:p w14:paraId="5C751BCC" w14:textId="77777777" w:rsidR="009B153B" w:rsidRPr="002166A5" w:rsidRDefault="009B153B" w:rsidP="006D63E0">
            <w:pPr>
              <w:pStyle w:val="TableText"/>
              <w:rPr>
                <w:rFonts w:ascii="Arial" w:hAnsi="Arial" w:cs="Arial"/>
              </w:rPr>
            </w:pPr>
            <w:r w:rsidRPr="002166A5">
              <w:rPr>
                <w:rFonts w:ascii="Arial" w:hAnsi="Arial" w:cs="Arial"/>
              </w:rPr>
              <w:t>Be ≤300mm deep</w:t>
            </w:r>
          </w:p>
        </w:tc>
        <w:tc>
          <w:tcPr>
            <w:tcW w:w="2814" w:type="dxa"/>
          </w:tcPr>
          <w:p w14:paraId="13B8551A" w14:textId="77777777" w:rsidR="009B153B" w:rsidRPr="002166A5" w:rsidRDefault="009B153B" w:rsidP="006D63E0">
            <w:pPr>
              <w:pStyle w:val="TableText"/>
            </w:pPr>
            <w:r w:rsidRPr="002166A5">
              <w:t>Be ≤ 1.6 m deep</w:t>
            </w:r>
          </w:p>
        </w:tc>
      </w:tr>
      <w:tr w:rsidR="009B153B" w14:paraId="61C83251" w14:textId="77777777" w:rsidTr="006D63E0">
        <w:tc>
          <w:tcPr>
            <w:tcW w:w="3121" w:type="dxa"/>
          </w:tcPr>
          <w:p w14:paraId="654B9882" w14:textId="77777777" w:rsidR="009B153B" w:rsidRPr="002166A5" w:rsidRDefault="009B153B" w:rsidP="006D63E0">
            <w:pPr>
              <w:pStyle w:val="TableText"/>
            </w:pPr>
            <w:r w:rsidRPr="002166A5">
              <w:t>Sediment storage</w:t>
            </w:r>
          </w:p>
        </w:tc>
        <w:tc>
          <w:tcPr>
            <w:tcW w:w="3052" w:type="dxa"/>
          </w:tcPr>
          <w:p w14:paraId="2026911D" w14:textId="77777777" w:rsidR="009B153B" w:rsidRPr="002166A5" w:rsidRDefault="009B153B" w:rsidP="006D63E0">
            <w:pPr>
              <w:pStyle w:val="TableText"/>
            </w:pPr>
            <w:r w:rsidRPr="002166A5">
              <w:t>Provide adequate sediment storage volume to store 1 year of sediment</w:t>
            </w:r>
          </w:p>
        </w:tc>
        <w:tc>
          <w:tcPr>
            <w:tcW w:w="2814" w:type="dxa"/>
          </w:tcPr>
          <w:p w14:paraId="0299CFDE" w14:textId="77777777" w:rsidR="009B153B" w:rsidRPr="002166A5" w:rsidRDefault="009B153B" w:rsidP="006D63E0">
            <w:pPr>
              <w:pStyle w:val="TableText"/>
            </w:pPr>
            <w:r w:rsidRPr="002166A5">
              <w:t>Provide adequate sediment storage volume to store 5 years of sediment</w:t>
            </w:r>
          </w:p>
        </w:tc>
      </w:tr>
      <w:tr w:rsidR="009B153B" w14:paraId="2CDB23AE" w14:textId="77777777" w:rsidTr="006D63E0">
        <w:tc>
          <w:tcPr>
            <w:tcW w:w="3121" w:type="dxa"/>
          </w:tcPr>
          <w:p w14:paraId="583F2FE2" w14:textId="77777777" w:rsidR="009B153B" w:rsidRPr="002166A5" w:rsidRDefault="009B153B" w:rsidP="006D63E0">
            <w:pPr>
              <w:pStyle w:val="TableText"/>
            </w:pPr>
            <w:r w:rsidRPr="002166A5">
              <w:t>Velocity</w:t>
            </w:r>
          </w:p>
        </w:tc>
        <w:tc>
          <w:tcPr>
            <w:tcW w:w="3052" w:type="dxa"/>
          </w:tcPr>
          <w:p w14:paraId="0B1CD582" w14:textId="77777777" w:rsidR="009B153B" w:rsidRPr="002166A5" w:rsidRDefault="009B153B" w:rsidP="006D63E0">
            <w:pPr>
              <w:pStyle w:val="TableText"/>
            </w:pPr>
            <w:r w:rsidRPr="002166A5">
              <w:t>-</w:t>
            </w:r>
          </w:p>
        </w:tc>
        <w:tc>
          <w:tcPr>
            <w:tcW w:w="2814" w:type="dxa"/>
          </w:tcPr>
          <w:p w14:paraId="6C379EFC" w14:textId="77777777" w:rsidR="009B153B" w:rsidRPr="002166A5" w:rsidRDefault="009B153B" w:rsidP="006D63E0">
            <w:pPr>
              <w:pStyle w:val="TableText"/>
            </w:pPr>
            <w:r w:rsidRPr="002166A5">
              <w:rPr>
                <w:rStyle w:val="fontstyle01"/>
                <w:rFonts w:ascii="Arial" w:hAnsi="Arial"/>
                <w:szCs w:val="18"/>
              </w:rPr>
              <w:t>Ensure velocity through sediment pond for 1% AEP (1 in 100 year ARI) event is ≤ 0.5 m/s</w:t>
            </w:r>
          </w:p>
        </w:tc>
      </w:tr>
      <w:tr w:rsidR="009B153B" w14:paraId="72C7DFB4" w14:textId="77777777" w:rsidTr="006D63E0">
        <w:trPr>
          <w:trHeight w:val="625"/>
        </w:trPr>
        <w:tc>
          <w:tcPr>
            <w:tcW w:w="3121" w:type="dxa"/>
          </w:tcPr>
          <w:p w14:paraId="6DF4A70B" w14:textId="77777777" w:rsidR="009B153B" w:rsidRPr="002166A5" w:rsidRDefault="009B153B" w:rsidP="006D63E0">
            <w:pPr>
              <w:pStyle w:val="TableText"/>
            </w:pPr>
            <w:r w:rsidRPr="002166A5">
              <w:t>Energy dissipation</w:t>
            </w:r>
          </w:p>
        </w:tc>
        <w:tc>
          <w:tcPr>
            <w:tcW w:w="3052" w:type="dxa"/>
          </w:tcPr>
          <w:p w14:paraId="5DB95338" w14:textId="77777777" w:rsidR="009B153B" w:rsidRPr="002166A5" w:rsidRDefault="009B153B" w:rsidP="006D63E0">
            <w:pPr>
              <w:pStyle w:val="TableText"/>
              <w:rPr>
                <w:rFonts w:ascii="Arial" w:hAnsi="Arial" w:cs="Arial"/>
              </w:rPr>
            </w:pPr>
            <w:r w:rsidRPr="002166A5">
              <w:rPr>
                <w:rFonts w:ascii="Arial" w:hAnsi="Arial" w:cs="Arial"/>
              </w:rPr>
              <w:t>Provide energy dissipation of incoming flows</w:t>
            </w:r>
          </w:p>
        </w:tc>
        <w:tc>
          <w:tcPr>
            <w:tcW w:w="2814" w:type="dxa"/>
          </w:tcPr>
          <w:p w14:paraId="29BA7FDC" w14:textId="77777777" w:rsidR="009B153B" w:rsidRPr="002166A5" w:rsidRDefault="009B153B" w:rsidP="006D63E0">
            <w:pPr>
              <w:pStyle w:val="TableText"/>
              <w:rPr>
                <w:rStyle w:val="fontstyle01"/>
                <w:rFonts w:ascii="Arial" w:hAnsi="Arial"/>
                <w:szCs w:val="18"/>
              </w:rPr>
            </w:pPr>
            <w:r w:rsidRPr="002166A5">
              <w:rPr>
                <w:rStyle w:val="fontstyle01"/>
                <w:rFonts w:ascii="Arial" w:hAnsi="Arial"/>
                <w:szCs w:val="18"/>
              </w:rPr>
              <w:t>-</w:t>
            </w:r>
          </w:p>
        </w:tc>
      </w:tr>
      <w:tr w:rsidR="009B153B" w14:paraId="32AA7A0C" w14:textId="77777777" w:rsidTr="006D63E0">
        <w:tc>
          <w:tcPr>
            <w:tcW w:w="3121" w:type="dxa"/>
          </w:tcPr>
          <w:p w14:paraId="78DDF2D9" w14:textId="77777777" w:rsidR="009B153B" w:rsidRPr="002166A5" w:rsidRDefault="009B153B" w:rsidP="006D63E0">
            <w:pPr>
              <w:pStyle w:val="TableText"/>
            </w:pPr>
            <w:r w:rsidRPr="002166A5">
              <w:t>Drainage</w:t>
            </w:r>
          </w:p>
        </w:tc>
        <w:tc>
          <w:tcPr>
            <w:tcW w:w="3052" w:type="dxa"/>
          </w:tcPr>
          <w:p w14:paraId="75BA75C6" w14:textId="77777777" w:rsidR="009B153B" w:rsidRPr="002166A5" w:rsidRDefault="009B153B" w:rsidP="006D63E0">
            <w:pPr>
              <w:pStyle w:val="TableText"/>
              <w:rPr>
                <w:rFonts w:ascii="Arial" w:hAnsi="Arial" w:cs="Arial"/>
              </w:rPr>
            </w:pPr>
            <w:r w:rsidRPr="002166A5">
              <w:rPr>
                <w:rFonts w:ascii="Arial" w:hAnsi="Arial" w:cs="Arial"/>
              </w:rPr>
              <w:t>Be free draining</w:t>
            </w:r>
          </w:p>
        </w:tc>
        <w:tc>
          <w:tcPr>
            <w:tcW w:w="2814" w:type="dxa"/>
          </w:tcPr>
          <w:p w14:paraId="0D453261" w14:textId="77777777" w:rsidR="009B153B" w:rsidRPr="002166A5" w:rsidRDefault="009B153B" w:rsidP="006D63E0">
            <w:pPr>
              <w:pStyle w:val="TableText"/>
              <w:rPr>
                <w:rStyle w:val="fontstyle01"/>
                <w:rFonts w:ascii="Arial" w:hAnsi="Arial"/>
                <w:szCs w:val="18"/>
              </w:rPr>
            </w:pPr>
            <w:r w:rsidRPr="002166A5">
              <w:rPr>
                <w:rStyle w:val="fontstyle01"/>
                <w:rFonts w:ascii="Arial" w:hAnsi="Arial"/>
                <w:szCs w:val="18"/>
              </w:rPr>
              <w:t>-</w:t>
            </w:r>
          </w:p>
        </w:tc>
      </w:tr>
    </w:tbl>
    <w:p w14:paraId="5118EAC9" w14:textId="77777777" w:rsidR="009B153B" w:rsidRDefault="009B153B" w:rsidP="009B153B"/>
    <w:p w14:paraId="43F40559" w14:textId="50E0796C" w:rsidR="009B153B" w:rsidRPr="00FC2CC7" w:rsidRDefault="00C865D0" w:rsidP="006D63E0">
      <w:pPr>
        <w:pStyle w:val="Heading2"/>
      </w:pPr>
      <w:bookmarkStart w:id="30" w:name="_Toc184645963"/>
      <w:r>
        <w:t>6.3</w:t>
      </w:r>
      <w:r>
        <w:tab/>
      </w:r>
      <w:r w:rsidR="009B153B" w:rsidRPr="00FC2CC7">
        <w:t>Soil moisture conditions</w:t>
      </w:r>
      <w:bookmarkEnd w:id="30"/>
    </w:p>
    <w:p w14:paraId="037E097E" w14:textId="77777777" w:rsidR="009B153B" w:rsidRDefault="009B153B" w:rsidP="009B153B">
      <w:r>
        <w:t>Bioretention assets are expected to have wetting and drying cycles, being wet and even saturated during storm events then allowed to dry out between events. Both aerobic conditions (typically occurring in the filter media root zone) and anaerobic conditions (typically occurring in the submerged zone) are useful for effective nitrogen removal. However, conditions that are too dry or wet for long periods may lead to poor plant health or loss or poor nutrient removal performance and need to be avoided. The design of bioretention assets should aim to minimise the frequency with which complete drying of the filter media occurs to effectively sustain plants and microbes. This includes considering each of the following:</w:t>
      </w:r>
    </w:p>
    <w:p w14:paraId="153ED84E" w14:textId="77777777" w:rsidR="009B153B" w:rsidRDefault="009B153B" w:rsidP="009B153B"/>
    <w:p w14:paraId="26FCDE49" w14:textId="77777777" w:rsidR="009B153B" w:rsidRDefault="009B153B" w:rsidP="006D63E0">
      <w:pPr>
        <w:pStyle w:val="ListBullet"/>
      </w:pPr>
      <w:r>
        <w:lastRenderedPageBreak/>
        <w:t>Depth and type of filter media and resulting depth of soil water stored.</w:t>
      </w:r>
    </w:p>
    <w:p w14:paraId="4DE867F7" w14:textId="77777777" w:rsidR="009B153B" w:rsidRDefault="009B153B" w:rsidP="006D63E0">
      <w:pPr>
        <w:pStyle w:val="ListBullet"/>
      </w:pPr>
      <w:r>
        <w:t>Depth of submerged zone.</w:t>
      </w:r>
    </w:p>
    <w:p w14:paraId="67E95993" w14:textId="77777777" w:rsidR="009B153B" w:rsidRDefault="009B153B" w:rsidP="006D63E0">
      <w:pPr>
        <w:pStyle w:val="ListBullet"/>
      </w:pPr>
      <w:r>
        <w:t>Catchment to treatment area ratio and frequency of inflows.</w:t>
      </w:r>
    </w:p>
    <w:p w14:paraId="7E1E5D5A" w14:textId="77777777" w:rsidR="009B153B" w:rsidRDefault="009B153B" w:rsidP="006D63E0">
      <w:pPr>
        <w:spacing w:before="120"/>
      </w:pPr>
      <w:r>
        <w:t>The ‘submerged zone’ is intended to provide a reservoir of water that can be accessed by the plants between the events as well as enhance anaerobic denitrification processes that increase overall total nitrogen removal. Either a temporary submerged zone (unlined bioretention in underlying soils with low hydraulic conductivity (&lt;=36 mm/hour) or permanent submerged zone (lined bioretention) in any soils may be used. It is preferable not to line a bioretention asset unless necessary to protect infrastructure or retain moisture.</w:t>
      </w:r>
    </w:p>
    <w:p w14:paraId="6DF036AF" w14:textId="77777777" w:rsidR="009B153B" w:rsidRDefault="009B153B" w:rsidP="006D63E0">
      <w:pPr>
        <w:spacing w:before="120"/>
      </w:pPr>
      <w:r>
        <w:t>Specifications to ensure adequate soil moisture conditions are provided above.</w:t>
      </w:r>
    </w:p>
    <w:p w14:paraId="336ED47B" w14:textId="77777777" w:rsidR="009B153B" w:rsidRDefault="009B153B" w:rsidP="006D63E0">
      <w:pPr>
        <w:spacing w:before="120"/>
      </w:pPr>
      <w:r>
        <w:t>As a general guide, conditions that may be considered excessively wet or dry include:</w:t>
      </w:r>
    </w:p>
    <w:p w14:paraId="3DDA44BB" w14:textId="77777777" w:rsidR="009B153B" w:rsidRDefault="009B153B" w:rsidP="006D63E0">
      <w:pPr>
        <w:pStyle w:val="ListBullet"/>
      </w:pPr>
      <w:r>
        <w:t>Saturated conditions (&gt;80% soil moisture) for greater than 5 days at least once in 10 years</w:t>
      </w:r>
      <w:r w:rsidR="006D63E0">
        <w:t>.</w:t>
      </w:r>
    </w:p>
    <w:p w14:paraId="798B8FCC" w14:textId="77777777" w:rsidR="009B153B" w:rsidRDefault="009B153B" w:rsidP="006D63E0">
      <w:pPr>
        <w:pStyle w:val="ListBullet"/>
      </w:pPr>
      <w:r>
        <w:t>Excessively dry conditions (&lt;11% soil moisture) for greater than 35 days at least once in 10 years (this is for Carex Appressa) This may be less for plants that are less drought tolerant and a target of 20 days has been set for Geelong to support a range of planting and minimise loss of biofilms required for treatment.</w:t>
      </w:r>
    </w:p>
    <w:p w14:paraId="7A188B74" w14:textId="77777777" w:rsidR="006D63E0" w:rsidRDefault="006D63E0" w:rsidP="006D63E0">
      <w:pPr>
        <w:pStyle w:val="ListBullet"/>
        <w:numPr>
          <w:ilvl w:val="0"/>
          <w:numId w:val="0"/>
        </w:numPr>
      </w:pPr>
    </w:p>
    <w:p w14:paraId="1AAAD535" w14:textId="6344D14E" w:rsidR="009B153B" w:rsidRPr="00F171AE" w:rsidRDefault="00C865D0" w:rsidP="006D63E0">
      <w:pPr>
        <w:pStyle w:val="Heading2"/>
      </w:pPr>
      <w:bookmarkStart w:id="31" w:name="_Toc184645964"/>
      <w:r>
        <w:t>6.4</w:t>
      </w:r>
      <w:r>
        <w:tab/>
      </w:r>
      <w:r w:rsidR="009B153B" w:rsidRPr="00F171AE">
        <w:t>Infiltration</w:t>
      </w:r>
      <w:r w:rsidR="009B153B">
        <w:t xml:space="preserve"> and proximity to infrastructure</w:t>
      </w:r>
      <w:bookmarkEnd w:id="31"/>
    </w:p>
    <w:p w14:paraId="26C213AB" w14:textId="77777777" w:rsidR="009B153B" w:rsidRDefault="009B153B" w:rsidP="009B153B">
      <w:r w:rsidRPr="007240F8">
        <w:t>Infiltration to surrounding soils should be encouraged where possible</w:t>
      </w:r>
      <w:r>
        <w:t xml:space="preserve"> but must be undertaken in combination with an understanding of underlying soil conditions based on desktop data, geotechnical investigations and other information where available. </w:t>
      </w:r>
      <w:r w:rsidRPr="007240F8">
        <w:t xml:space="preserve">The designer should consider the potential impacts of infiltration and capacity of surrounding soil to absorb </w:t>
      </w:r>
      <w:r>
        <w:t>infiltrated flows</w:t>
      </w:r>
      <w:r w:rsidRPr="007240F8">
        <w:t>.</w:t>
      </w:r>
      <w:r>
        <w:t xml:space="preserve"> This includes consideration of:</w:t>
      </w:r>
    </w:p>
    <w:p w14:paraId="7E79508C" w14:textId="77777777" w:rsidR="009B153B" w:rsidRDefault="009B153B" w:rsidP="006D63E0">
      <w:pPr>
        <w:pStyle w:val="ListBullet"/>
      </w:pPr>
      <w:r>
        <w:t>Underlying soil type and capacity to absorb and infiltrate water</w:t>
      </w:r>
      <w:r w:rsidR="006D63E0">
        <w:t>.</w:t>
      </w:r>
    </w:p>
    <w:p w14:paraId="0F140B5D" w14:textId="77777777" w:rsidR="009B153B" w:rsidRDefault="009B153B" w:rsidP="006D63E0">
      <w:pPr>
        <w:pStyle w:val="ListBullet"/>
      </w:pPr>
      <w:r>
        <w:t>Soil conditions where infiltration may be undesirable such as dispersive soils at risk of erosion</w:t>
      </w:r>
      <w:r w:rsidR="006D63E0">
        <w:t>.</w:t>
      </w:r>
    </w:p>
    <w:p w14:paraId="0F04B60C" w14:textId="77777777" w:rsidR="009B153B" w:rsidRDefault="009B153B" w:rsidP="006D63E0">
      <w:pPr>
        <w:pStyle w:val="ListBullet"/>
      </w:pPr>
      <w:r>
        <w:t>Depth to groundwater that may inhibit infiltration</w:t>
      </w:r>
      <w:r w:rsidR="006D63E0">
        <w:t>.</w:t>
      </w:r>
    </w:p>
    <w:p w14:paraId="42C893DF" w14:textId="77777777" w:rsidR="009B153B" w:rsidRDefault="009B153B" w:rsidP="006D63E0">
      <w:pPr>
        <w:pStyle w:val="ListBullet"/>
      </w:pPr>
      <w:r>
        <w:t>Saline soil or groundwater conditions that may be exacerbated or transmitted through infiltration</w:t>
      </w:r>
      <w:r w:rsidR="006D63E0">
        <w:t>.</w:t>
      </w:r>
    </w:p>
    <w:p w14:paraId="23DD9D9E" w14:textId="77777777" w:rsidR="009B153B" w:rsidRDefault="009B153B" w:rsidP="006D63E0">
      <w:pPr>
        <w:pStyle w:val="ListBullet"/>
      </w:pPr>
      <w:r>
        <w:t>Depth to bedrock and capacity of to absorb or transmit flows where relevant</w:t>
      </w:r>
      <w:r w:rsidR="006D63E0">
        <w:t>.</w:t>
      </w:r>
    </w:p>
    <w:p w14:paraId="07F47471" w14:textId="77777777" w:rsidR="009B153B" w:rsidRDefault="009B153B" w:rsidP="006D63E0">
      <w:pPr>
        <w:pStyle w:val="ListBullet"/>
      </w:pPr>
      <w:r>
        <w:t>Slope and down-slope infrastructure and conditions</w:t>
      </w:r>
      <w:r w:rsidR="006D63E0">
        <w:t>.</w:t>
      </w:r>
    </w:p>
    <w:p w14:paraId="4823D5D0" w14:textId="77777777" w:rsidR="009B153B" w:rsidRDefault="009B153B" w:rsidP="006D63E0">
      <w:pPr>
        <w:pStyle w:val="ListBullet"/>
      </w:pPr>
      <w:r>
        <w:t>Scale and volume of anticipated infiltration relative to receiving soil environment</w:t>
      </w:r>
      <w:r w:rsidR="006D63E0">
        <w:t>.</w:t>
      </w:r>
    </w:p>
    <w:p w14:paraId="21CE6056" w14:textId="77777777" w:rsidR="009B153B" w:rsidRDefault="009B153B" w:rsidP="006D63E0">
      <w:pPr>
        <w:spacing w:before="240"/>
      </w:pPr>
      <w:r>
        <w:t>While a partial or full lining may be used where surrounding soils have high infiltration rates (i.e. sands), infiltration into soils with low or medium infiltration rates (clays, silts and loams) allow water to be retained within these soils and encourages plant roots to grow into these. This should be seen as complementary and supportive of the submerged zone.</w:t>
      </w:r>
    </w:p>
    <w:p w14:paraId="05527992" w14:textId="77777777" w:rsidR="009B153B" w:rsidRPr="007240F8" w:rsidRDefault="009B153B" w:rsidP="006D63E0">
      <w:pPr>
        <w:spacing w:before="120"/>
      </w:pPr>
      <w:r>
        <w:t xml:space="preserve">Infiltration can usually be used in combination with a submerged zone without compromising its purpose and function. This is the case where </w:t>
      </w:r>
      <w:r w:rsidRPr="007240F8">
        <w:t xml:space="preserve">underlying soils have </w:t>
      </w:r>
      <w:r>
        <w:t>low</w:t>
      </w:r>
      <w:r w:rsidRPr="007240F8">
        <w:t xml:space="preserve"> infiltration rates </w:t>
      </w:r>
      <w:r>
        <w:t xml:space="preserve">(e.g. clays, silts and loams) </w:t>
      </w:r>
      <w:r w:rsidRPr="007240F8">
        <w:t>and soil moisture storage within the underlying and surrounding soil will be accessible to plants.</w:t>
      </w:r>
      <w:r>
        <w:t xml:space="preserve"> Where underlying soils are sands or have higher infiltration rates (&gt;3.6 </w:t>
      </w:r>
      <w:r>
        <w:lastRenderedPageBreak/>
        <w:t>mm/hour), a partially or fully lined submerged zone should be adopted to ensure water remains available to plants.</w:t>
      </w:r>
    </w:p>
    <w:p w14:paraId="480E7D9A" w14:textId="1B69F68D" w:rsidR="009B153B" w:rsidRPr="007240F8" w:rsidRDefault="009B153B" w:rsidP="006D63E0">
      <w:pPr>
        <w:spacing w:before="120"/>
      </w:pPr>
      <w:r w:rsidRPr="007240F8">
        <w:t xml:space="preserve">Allowable offset distances for infiltration in proximity to structures </w:t>
      </w:r>
      <w:r>
        <w:t>should take into</w:t>
      </w:r>
      <w:r w:rsidRPr="007240F8">
        <w:t xml:space="preserve"> consideration the soil type present </w:t>
      </w:r>
      <w:r>
        <w:t>as</w:t>
      </w:r>
      <w:r w:rsidRPr="007240F8">
        <w:t xml:space="preserve"> outlined </w:t>
      </w:r>
      <w:r>
        <w:t xml:space="preserve">in </w:t>
      </w:r>
      <w:r>
        <w:fldChar w:fldCharType="begin"/>
      </w:r>
      <w:r>
        <w:instrText xml:space="preserve"> REF _Ref12884413 \h </w:instrText>
      </w:r>
      <w:r>
        <w:fldChar w:fldCharType="separate"/>
      </w:r>
      <w:r w:rsidR="00E228A6">
        <w:t xml:space="preserve">Table </w:t>
      </w:r>
      <w:r w:rsidR="00E228A6">
        <w:rPr>
          <w:noProof/>
        </w:rPr>
        <w:t>3</w:t>
      </w:r>
      <w:r>
        <w:fldChar w:fldCharType="end"/>
      </w:r>
      <w:r>
        <w:t>.</w:t>
      </w:r>
      <w:r w:rsidRPr="007240F8">
        <w:t xml:space="preserve"> For detailed information refer to </w:t>
      </w:r>
      <w:r w:rsidRPr="007240F8">
        <w:rPr>
          <w:i/>
        </w:rPr>
        <w:t>Australian Runoff Quality</w:t>
      </w:r>
      <w:r w:rsidRPr="007240F8">
        <w:t xml:space="preserve"> (Wong, 2006). The soil types present must be confirmed with a geotechnical report for bioretention assets &gt; 100 m</w:t>
      </w:r>
      <w:r w:rsidRPr="007240F8">
        <w:rPr>
          <w:vertAlign w:val="superscript"/>
        </w:rPr>
        <w:t>2</w:t>
      </w:r>
      <w:r w:rsidRPr="007240F8">
        <w:t>.</w:t>
      </w:r>
    </w:p>
    <w:p w14:paraId="6EF5532F" w14:textId="15D5381B" w:rsidR="009B153B" w:rsidRDefault="009B153B" w:rsidP="00615149">
      <w:pPr>
        <w:pStyle w:val="Caption"/>
        <w:jc w:val="center"/>
      </w:pPr>
      <w:bookmarkStart w:id="32" w:name="_Ref12884413"/>
      <w:bookmarkStart w:id="33" w:name="_Toc184646017"/>
      <w:r>
        <w:t xml:space="preserve">Table </w:t>
      </w:r>
      <w:r>
        <w:fldChar w:fldCharType="begin"/>
      </w:r>
      <w:r>
        <w:instrText xml:space="preserve"> SEQ Table \* ARABIC </w:instrText>
      </w:r>
      <w:r>
        <w:fldChar w:fldCharType="separate"/>
      </w:r>
      <w:r w:rsidR="00E228A6">
        <w:rPr>
          <w:noProof/>
        </w:rPr>
        <w:t>3</w:t>
      </w:r>
      <w:r>
        <w:rPr>
          <w:noProof/>
        </w:rPr>
        <w:fldChar w:fldCharType="end"/>
      </w:r>
      <w:bookmarkEnd w:id="32"/>
      <w:r w:rsidR="00615149">
        <w:rPr>
          <w:noProof/>
        </w:rPr>
        <w:t>:</w:t>
      </w:r>
      <w:r>
        <w:t xml:space="preserve"> Offset distances</w:t>
      </w:r>
      <w:bookmarkEnd w:id="33"/>
    </w:p>
    <w:tbl>
      <w:tblPr>
        <w:tblStyle w:val="TableGrid"/>
        <w:tblW w:w="5000" w:type="pct"/>
        <w:tblLayout w:type="fixed"/>
        <w:tblLook w:val="0620" w:firstRow="1" w:lastRow="0" w:firstColumn="0" w:lastColumn="0" w:noHBand="1" w:noVBand="1"/>
      </w:tblPr>
      <w:tblGrid>
        <w:gridCol w:w="4264"/>
        <w:gridCol w:w="2342"/>
        <w:gridCol w:w="2125"/>
      </w:tblGrid>
      <w:tr w:rsidR="009B153B" w:rsidRPr="000F1E85" w14:paraId="208F79DE" w14:textId="77777777" w:rsidTr="00615149">
        <w:trPr>
          <w:cnfStyle w:val="100000000000" w:firstRow="1" w:lastRow="0" w:firstColumn="0" w:lastColumn="0" w:oddVBand="0" w:evenVBand="0" w:oddHBand="0" w:evenHBand="0" w:firstRowFirstColumn="0" w:firstRowLastColumn="0" w:lastRowFirstColumn="0" w:lastRowLastColumn="0"/>
        </w:trPr>
        <w:tc>
          <w:tcPr>
            <w:tcW w:w="2442" w:type="pct"/>
          </w:tcPr>
          <w:p w14:paraId="548534E6" w14:textId="77777777" w:rsidR="009B153B" w:rsidRPr="000F1E85" w:rsidRDefault="009B153B" w:rsidP="00615149">
            <w:pPr>
              <w:pStyle w:val="TableText"/>
              <w:jc w:val="center"/>
            </w:pPr>
            <w:r w:rsidRPr="000F1E85">
              <w:t>Soil type</w:t>
            </w:r>
          </w:p>
        </w:tc>
        <w:tc>
          <w:tcPr>
            <w:tcW w:w="1341" w:type="pct"/>
          </w:tcPr>
          <w:p w14:paraId="154B3B17" w14:textId="77777777" w:rsidR="009B153B" w:rsidRPr="000F1E85" w:rsidRDefault="009B153B" w:rsidP="00615149">
            <w:pPr>
              <w:pStyle w:val="TableText"/>
              <w:jc w:val="center"/>
            </w:pPr>
            <w:r w:rsidRPr="000F1E85">
              <w:t>Soil type hydraulic conductivity (mm/h)</w:t>
            </w:r>
          </w:p>
        </w:tc>
        <w:tc>
          <w:tcPr>
            <w:tcW w:w="1217" w:type="pct"/>
          </w:tcPr>
          <w:p w14:paraId="0226AB8A" w14:textId="77777777" w:rsidR="009B153B" w:rsidRPr="000F1E85" w:rsidRDefault="009B153B" w:rsidP="00615149">
            <w:pPr>
              <w:pStyle w:val="TableText"/>
              <w:jc w:val="center"/>
            </w:pPr>
            <w:r w:rsidRPr="000F1E85">
              <w:t>Offset distance</w:t>
            </w:r>
          </w:p>
        </w:tc>
      </w:tr>
      <w:tr w:rsidR="009B153B" w:rsidRPr="00F95219" w14:paraId="5DA05748" w14:textId="77777777" w:rsidTr="00615149">
        <w:tc>
          <w:tcPr>
            <w:tcW w:w="2442" w:type="pct"/>
          </w:tcPr>
          <w:p w14:paraId="3B42FDFC" w14:textId="77777777" w:rsidR="009B153B" w:rsidRPr="00CF4EDE" w:rsidRDefault="009B153B" w:rsidP="00615149">
            <w:pPr>
              <w:pStyle w:val="TableText"/>
            </w:pPr>
            <w:r w:rsidRPr="00CF4EDE">
              <w:t>Deep, confined or unconfined sands (homogenous)</w:t>
            </w:r>
          </w:p>
        </w:tc>
        <w:tc>
          <w:tcPr>
            <w:tcW w:w="1341" w:type="pct"/>
          </w:tcPr>
          <w:p w14:paraId="14169034" w14:textId="77777777" w:rsidR="009B153B" w:rsidRPr="00CF4EDE" w:rsidRDefault="009B153B" w:rsidP="00615149">
            <w:pPr>
              <w:pStyle w:val="TableText"/>
              <w:jc w:val="center"/>
            </w:pPr>
            <w:r w:rsidRPr="00CF4EDE">
              <w:t>≥180</w:t>
            </w:r>
          </w:p>
        </w:tc>
        <w:tc>
          <w:tcPr>
            <w:tcW w:w="1217" w:type="pct"/>
          </w:tcPr>
          <w:p w14:paraId="40A6E4B2" w14:textId="77777777" w:rsidR="009B153B" w:rsidRPr="00CF4EDE" w:rsidRDefault="009B153B" w:rsidP="00615149">
            <w:pPr>
              <w:pStyle w:val="TableText"/>
              <w:jc w:val="center"/>
            </w:pPr>
            <w:r w:rsidRPr="00CF4EDE">
              <w:t>1m</w:t>
            </w:r>
          </w:p>
        </w:tc>
      </w:tr>
      <w:tr w:rsidR="009B153B" w:rsidRPr="00F95219" w14:paraId="2049ABE4" w14:textId="77777777" w:rsidTr="00615149">
        <w:tc>
          <w:tcPr>
            <w:tcW w:w="2442" w:type="pct"/>
          </w:tcPr>
          <w:p w14:paraId="6B413E18" w14:textId="77777777" w:rsidR="009B153B" w:rsidRPr="00CF4EDE" w:rsidRDefault="009B153B" w:rsidP="00615149">
            <w:pPr>
              <w:pStyle w:val="TableText"/>
            </w:pPr>
            <w:r w:rsidRPr="00CF4EDE">
              <w:t>Sandy clays (homogenous)</w:t>
            </w:r>
          </w:p>
        </w:tc>
        <w:tc>
          <w:tcPr>
            <w:tcW w:w="1341" w:type="pct"/>
          </w:tcPr>
          <w:p w14:paraId="40F80FDC" w14:textId="77777777" w:rsidR="009B153B" w:rsidRPr="00CF4EDE" w:rsidRDefault="009B153B" w:rsidP="00615149">
            <w:pPr>
              <w:pStyle w:val="TableText"/>
              <w:jc w:val="center"/>
            </w:pPr>
            <w:r w:rsidRPr="00CF4EDE">
              <w:t>36 to 180</w:t>
            </w:r>
          </w:p>
        </w:tc>
        <w:tc>
          <w:tcPr>
            <w:tcW w:w="1217" w:type="pct"/>
          </w:tcPr>
          <w:p w14:paraId="07854F8E" w14:textId="77777777" w:rsidR="009B153B" w:rsidRPr="00CF4EDE" w:rsidRDefault="009B153B" w:rsidP="00615149">
            <w:pPr>
              <w:pStyle w:val="TableText"/>
              <w:jc w:val="center"/>
            </w:pPr>
            <w:r w:rsidRPr="00CF4EDE">
              <w:t>2m</w:t>
            </w:r>
          </w:p>
        </w:tc>
      </w:tr>
      <w:tr w:rsidR="009B153B" w:rsidRPr="00F95219" w14:paraId="2B4B7410" w14:textId="77777777" w:rsidTr="00615149">
        <w:tc>
          <w:tcPr>
            <w:tcW w:w="2442" w:type="pct"/>
          </w:tcPr>
          <w:p w14:paraId="4554113C" w14:textId="77777777" w:rsidR="009B153B" w:rsidRPr="00CF4EDE" w:rsidRDefault="009B153B" w:rsidP="00615149">
            <w:pPr>
              <w:pStyle w:val="TableText"/>
            </w:pPr>
            <w:r w:rsidRPr="00CF4EDE">
              <w:t>Medium clays (homogenous)</w:t>
            </w:r>
          </w:p>
        </w:tc>
        <w:tc>
          <w:tcPr>
            <w:tcW w:w="1341" w:type="pct"/>
          </w:tcPr>
          <w:p w14:paraId="4526089B" w14:textId="77777777" w:rsidR="009B153B" w:rsidRPr="00CF4EDE" w:rsidRDefault="009B153B" w:rsidP="00615149">
            <w:pPr>
              <w:pStyle w:val="TableText"/>
              <w:jc w:val="center"/>
            </w:pPr>
            <w:r w:rsidRPr="00CF4EDE">
              <w:t>3.6 to 36</w:t>
            </w:r>
          </w:p>
        </w:tc>
        <w:tc>
          <w:tcPr>
            <w:tcW w:w="1217" w:type="pct"/>
          </w:tcPr>
          <w:p w14:paraId="5F250C08" w14:textId="77777777" w:rsidR="009B153B" w:rsidRPr="00CF4EDE" w:rsidRDefault="009B153B" w:rsidP="00615149">
            <w:pPr>
              <w:pStyle w:val="TableText"/>
              <w:jc w:val="center"/>
            </w:pPr>
            <w:r w:rsidRPr="00CF4EDE">
              <w:t>4m</w:t>
            </w:r>
          </w:p>
        </w:tc>
      </w:tr>
      <w:tr w:rsidR="009B153B" w:rsidRPr="00F95219" w14:paraId="1848B46D" w14:textId="77777777" w:rsidTr="00615149">
        <w:tc>
          <w:tcPr>
            <w:tcW w:w="2442" w:type="pct"/>
          </w:tcPr>
          <w:p w14:paraId="08B04589" w14:textId="77777777" w:rsidR="009B153B" w:rsidRPr="00CF4EDE" w:rsidRDefault="009B153B" w:rsidP="00615149">
            <w:pPr>
              <w:pStyle w:val="TableText"/>
            </w:pPr>
            <w:r w:rsidRPr="00CF4EDE">
              <w:t>Heavy clays (homogenous)</w:t>
            </w:r>
          </w:p>
        </w:tc>
        <w:tc>
          <w:tcPr>
            <w:tcW w:w="1341" w:type="pct"/>
          </w:tcPr>
          <w:p w14:paraId="6D684354" w14:textId="77777777" w:rsidR="009B153B" w:rsidRPr="00CF4EDE" w:rsidRDefault="009B153B" w:rsidP="00615149">
            <w:pPr>
              <w:pStyle w:val="TableText"/>
              <w:jc w:val="center"/>
            </w:pPr>
            <w:r w:rsidRPr="00CF4EDE">
              <w:t>0.036 to 3.6</w:t>
            </w:r>
          </w:p>
        </w:tc>
        <w:tc>
          <w:tcPr>
            <w:tcW w:w="1217" w:type="pct"/>
          </w:tcPr>
          <w:p w14:paraId="53EBCDF3" w14:textId="77777777" w:rsidR="009B153B" w:rsidRPr="00CF4EDE" w:rsidRDefault="009B153B" w:rsidP="00615149">
            <w:pPr>
              <w:pStyle w:val="TableText"/>
              <w:jc w:val="center"/>
            </w:pPr>
            <w:r w:rsidRPr="00CF4EDE">
              <w:t>5m</w:t>
            </w:r>
          </w:p>
        </w:tc>
      </w:tr>
      <w:tr w:rsidR="009B153B" w:rsidRPr="00F95219" w14:paraId="39AC2F63" w14:textId="77777777" w:rsidTr="00615149">
        <w:tc>
          <w:tcPr>
            <w:tcW w:w="2442" w:type="pct"/>
          </w:tcPr>
          <w:p w14:paraId="383E8893" w14:textId="77777777" w:rsidR="009B153B" w:rsidRPr="00CF4EDE" w:rsidRDefault="009B153B" w:rsidP="00615149">
            <w:pPr>
              <w:pStyle w:val="TableText"/>
            </w:pPr>
            <w:r w:rsidRPr="00CF4EDE">
              <w:t>Constructed clay soils (homogenous)</w:t>
            </w:r>
          </w:p>
        </w:tc>
        <w:tc>
          <w:tcPr>
            <w:tcW w:w="1341" w:type="pct"/>
          </w:tcPr>
          <w:p w14:paraId="520A341C" w14:textId="77777777" w:rsidR="009B153B" w:rsidRPr="00CF4EDE" w:rsidRDefault="009B153B" w:rsidP="00615149">
            <w:pPr>
              <w:pStyle w:val="TableText"/>
              <w:jc w:val="center"/>
            </w:pPr>
            <w:r w:rsidRPr="00CF4EDE">
              <w:t>0.0004 to 0.036</w:t>
            </w:r>
          </w:p>
        </w:tc>
        <w:tc>
          <w:tcPr>
            <w:tcW w:w="1217" w:type="pct"/>
          </w:tcPr>
          <w:p w14:paraId="6C7E05AA" w14:textId="77777777" w:rsidR="009B153B" w:rsidRPr="00CF4EDE" w:rsidRDefault="009B153B" w:rsidP="00615149">
            <w:pPr>
              <w:pStyle w:val="TableText"/>
              <w:jc w:val="center"/>
            </w:pPr>
            <w:r w:rsidRPr="00CF4EDE">
              <w:t>5m</w:t>
            </w:r>
          </w:p>
        </w:tc>
      </w:tr>
      <w:tr w:rsidR="009B153B" w:rsidRPr="00F95219" w14:paraId="6DFD33F2" w14:textId="77777777" w:rsidTr="00615149">
        <w:tc>
          <w:tcPr>
            <w:tcW w:w="2442" w:type="pct"/>
          </w:tcPr>
          <w:p w14:paraId="1DA2C0B5" w14:textId="77777777" w:rsidR="009B153B" w:rsidRPr="00CF4EDE" w:rsidRDefault="009B153B" w:rsidP="00615149">
            <w:pPr>
              <w:pStyle w:val="TableText"/>
            </w:pPr>
            <w:r w:rsidRPr="00CF4EDE">
              <w:t>Sites with rock or shallow soil over rock</w:t>
            </w:r>
          </w:p>
        </w:tc>
        <w:tc>
          <w:tcPr>
            <w:tcW w:w="1341" w:type="pct"/>
          </w:tcPr>
          <w:p w14:paraId="07C7AE22" w14:textId="77777777" w:rsidR="009B153B" w:rsidRPr="00CF4EDE" w:rsidRDefault="009B153B" w:rsidP="00615149">
            <w:pPr>
              <w:pStyle w:val="TableText"/>
              <w:jc w:val="center"/>
            </w:pPr>
            <w:r w:rsidRPr="00CF4EDE">
              <w:t>3.6 to 36</w:t>
            </w:r>
          </w:p>
        </w:tc>
        <w:tc>
          <w:tcPr>
            <w:tcW w:w="1217" w:type="pct"/>
          </w:tcPr>
          <w:p w14:paraId="127001AE" w14:textId="77777777" w:rsidR="009B153B" w:rsidRPr="00CF4EDE" w:rsidRDefault="009B153B" w:rsidP="00615149">
            <w:pPr>
              <w:pStyle w:val="TableText"/>
              <w:jc w:val="center"/>
            </w:pPr>
            <w:r w:rsidRPr="00CF4EDE">
              <w:t>2m</w:t>
            </w:r>
          </w:p>
        </w:tc>
      </w:tr>
    </w:tbl>
    <w:p w14:paraId="25BEAC8C" w14:textId="77777777" w:rsidR="009B153B" w:rsidRDefault="009B153B" w:rsidP="009B153B">
      <w:pPr>
        <w:rPr>
          <w:b/>
        </w:rPr>
      </w:pPr>
    </w:p>
    <w:p w14:paraId="1EEE446A" w14:textId="5A5C8D73" w:rsidR="009B153B" w:rsidRPr="00C513F8" w:rsidRDefault="00C865D0" w:rsidP="00615149">
      <w:pPr>
        <w:pStyle w:val="Heading2"/>
      </w:pPr>
      <w:bookmarkStart w:id="34" w:name="_Toc184645965"/>
      <w:r>
        <w:t>6.5</w:t>
      </w:r>
      <w:r>
        <w:tab/>
      </w:r>
      <w:r w:rsidR="009B153B" w:rsidRPr="00C513F8">
        <w:t>Construction phase</w:t>
      </w:r>
      <w:bookmarkEnd w:id="34"/>
    </w:p>
    <w:p w14:paraId="35C349E9" w14:textId="77777777" w:rsidR="009B153B" w:rsidRDefault="009B153B" w:rsidP="00615149">
      <w:pPr>
        <w:spacing w:before="120"/>
      </w:pPr>
      <w:r>
        <w:t xml:space="preserve">Bioretention assets must be protected from sediment clogging during construction works within their catchment until at least 90% of the catchment is developed. For all greenfield assets, construction should be undertaken in accordance with the </w:t>
      </w:r>
      <w:r w:rsidRPr="00615149">
        <w:rPr>
          <w:i/>
        </w:rPr>
        <w:t>Design Guide for Bioretention Systems in Melbourne Water Development Services Schemes</w:t>
      </w:r>
      <w:r>
        <w:t xml:space="preserve"> (Melbourne Water, 2019). </w:t>
      </w:r>
    </w:p>
    <w:p w14:paraId="1FF73A5A" w14:textId="77777777" w:rsidR="009B153B" w:rsidRDefault="009B153B" w:rsidP="00615149">
      <w:pPr>
        <w:spacing w:before="120"/>
      </w:pPr>
      <w:r>
        <w:t xml:space="preserve">The proposed construction process, timing and key hold points for construction and inspection must be identified. </w:t>
      </w:r>
    </w:p>
    <w:p w14:paraId="6A8645D7" w14:textId="77777777" w:rsidR="009B153B" w:rsidRDefault="009B153B" w:rsidP="009B153B"/>
    <w:p w14:paraId="0A5E4066" w14:textId="77777777" w:rsidR="009B153B" w:rsidRDefault="009B153B" w:rsidP="009B153B"/>
    <w:p w14:paraId="5CD941C6" w14:textId="515C7D63" w:rsidR="009B153B" w:rsidRPr="00386C15" w:rsidRDefault="00356B4A" w:rsidP="00615149">
      <w:pPr>
        <w:pStyle w:val="Heading1"/>
        <w:framePr w:wrap="around"/>
        <w:ind w:left="709" w:right="681"/>
      </w:pPr>
      <w:bookmarkStart w:id="35" w:name="_Toc19695205"/>
      <w:bookmarkStart w:id="36" w:name="_Toc184645966"/>
      <w:r>
        <w:lastRenderedPageBreak/>
        <w:t>7.0</w:t>
      </w:r>
      <w:r>
        <w:tab/>
      </w:r>
      <w:r w:rsidR="00615149">
        <w:t>Stormwater Harvesting and R</w:t>
      </w:r>
      <w:r w:rsidR="009B153B">
        <w:t>euse</w:t>
      </w:r>
      <w:bookmarkEnd w:id="35"/>
      <w:bookmarkEnd w:id="36"/>
    </w:p>
    <w:p w14:paraId="15BD3607" w14:textId="77777777" w:rsidR="009B153B" w:rsidRDefault="009B153B" w:rsidP="00615149">
      <w:pPr>
        <w:spacing w:before="120"/>
        <w:jc w:val="both"/>
      </w:pPr>
      <w:r>
        <w:t>Stormwater harvesting schemes should be modelled using the 20 year climate template. Results for this period should be used to predict the likely long-term reliability and yield of the scheme, and for economic assessment. The 20 year templates are based on the long-term average of multiple stations using all available data and are considered the best available estimate for likely future behaviour.</w:t>
      </w:r>
    </w:p>
    <w:p w14:paraId="16CE7001" w14:textId="77777777" w:rsidR="009B153B" w:rsidRDefault="009B153B" w:rsidP="00615149">
      <w:pPr>
        <w:spacing w:before="120"/>
        <w:jc w:val="both"/>
      </w:pPr>
      <w:r>
        <w:t>Climate change projections indicate that temperatures are likely to rise and mean annual rainfall is likely to reduce in future. This may affect stormwater harvesting schemes by increasing irrigation demands and reducing inflow volumes. While the effects are likely to be minimal in the short term (20-30 years), they will increase over time. There is also potential for a ‘step’ change in climate resulting in more severe impacts being felt sooner.</w:t>
      </w:r>
    </w:p>
    <w:p w14:paraId="08AB9874" w14:textId="77777777" w:rsidR="009B153B" w:rsidRDefault="009B153B" w:rsidP="00615149">
      <w:pPr>
        <w:spacing w:before="120"/>
        <w:jc w:val="both"/>
      </w:pPr>
      <w:r>
        <w:t>Sensitivity testing should ideally be undertaken using a selected historical period with lower rainfall or a climate change adjusted time series to indicate potential future performance during drought or long-term climate conditions. A period of good quality data (minimal missing or accumulated) should be selected with a mean annual rainfall based on consideration of likely average conditions for the location and future climate projections for the period of time of interest.</w:t>
      </w:r>
    </w:p>
    <w:p w14:paraId="3A04558F" w14:textId="0186ACEE" w:rsidR="009B153B" w:rsidRDefault="009B153B" w:rsidP="00615149">
      <w:pPr>
        <w:spacing w:before="120"/>
        <w:jc w:val="both"/>
      </w:pPr>
      <w:r>
        <w:t xml:space="preserve">It is recognised that rainfall during the recent period including the millennium drought (1996-2009) has been significantly lower than the long-term average. This is illustrated in </w:t>
      </w:r>
      <w:r>
        <w:fldChar w:fldCharType="begin"/>
      </w:r>
      <w:r>
        <w:instrText xml:space="preserve"> REF _Ref1638872 \h </w:instrText>
      </w:r>
      <w:r>
        <w:fldChar w:fldCharType="separate"/>
      </w:r>
      <w:r w:rsidR="00E228A6">
        <w:t xml:space="preserve">Figure </w:t>
      </w:r>
      <w:r w:rsidR="00E228A6">
        <w:rPr>
          <w:noProof/>
        </w:rPr>
        <w:t>8</w:t>
      </w:r>
      <w:r>
        <w:fldChar w:fldCharType="end"/>
      </w:r>
      <w:r>
        <w:t>, with a snapshot of selected data for the City’s Anakie Road depot (2004-2017) and North Geelong (1980-1989) rainfall stations.</w:t>
      </w:r>
    </w:p>
    <w:p w14:paraId="53532A5C" w14:textId="77777777" w:rsidR="009B153B" w:rsidRDefault="009B153B" w:rsidP="009B153B">
      <w:pPr>
        <w:jc w:val="both"/>
      </w:pPr>
    </w:p>
    <w:p w14:paraId="388CFC57" w14:textId="77777777" w:rsidR="009B153B" w:rsidRDefault="009B153B" w:rsidP="00DD7EA0">
      <w:pPr>
        <w:jc w:val="center"/>
        <w:rPr>
          <w:color w:val="FF0000"/>
        </w:rPr>
      </w:pPr>
      <w:r>
        <w:rPr>
          <w:noProof/>
        </w:rPr>
        <w:drawing>
          <wp:inline distT="0" distB="0" distL="0" distR="0" wp14:anchorId="5D44B468" wp14:editId="2FC9DDA9">
            <wp:extent cx="5188331" cy="2945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094" t="28266" r="51026" b="30417"/>
                    <a:stretch/>
                  </pic:blipFill>
                  <pic:spPr bwMode="auto">
                    <a:xfrm>
                      <a:off x="0" y="0"/>
                      <a:ext cx="5226769" cy="2967039"/>
                    </a:xfrm>
                    <a:prstGeom prst="rect">
                      <a:avLst/>
                    </a:prstGeom>
                    <a:ln>
                      <a:noFill/>
                    </a:ln>
                    <a:extLst>
                      <a:ext uri="{53640926-AAD7-44D8-BBD7-CCE9431645EC}">
                        <a14:shadowObscured xmlns:a14="http://schemas.microsoft.com/office/drawing/2010/main"/>
                      </a:ext>
                    </a:extLst>
                  </pic:spPr>
                </pic:pic>
              </a:graphicData>
            </a:graphic>
          </wp:inline>
        </w:drawing>
      </w:r>
    </w:p>
    <w:p w14:paraId="13B9652F" w14:textId="66AE4B6B" w:rsidR="00CF1300" w:rsidRDefault="009B153B" w:rsidP="00DD7EA0">
      <w:pPr>
        <w:pStyle w:val="Caption"/>
        <w:spacing w:after="0"/>
        <w:jc w:val="center"/>
      </w:pPr>
      <w:bookmarkStart w:id="37" w:name="_Ref1638872"/>
      <w:bookmarkStart w:id="38" w:name="_Toc184645986"/>
      <w:r>
        <w:t xml:space="preserve">Figure </w:t>
      </w:r>
      <w:r>
        <w:rPr>
          <w:noProof/>
        </w:rPr>
        <w:fldChar w:fldCharType="begin"/>
      </w:r>
      <w:r>
        <w:rPr>
          <w:noProof/>
        </w:rPr>
        <w:instrText xml:space="preserve"> SEQ Figure \* ARABIC </w:instrText>
      </w:r>
      <w:r>
        <w:rPr>
          <w:noProof/>
        </w:rPr>
        <w:fldChar w:fldCharType="separate"/>
      </w:r>
      <w:r w:rsidR="00E228A6">
        <w:rPr>
          <w:noProof/>
        </w:rPr>
        <w:t>8</w:t>
      </w:r>
      <w:r>
        <w:rPr>
          <w:noProof/>
        </w:rPr>
        <w:fldChar w:fldCharType="end"/>
      </w:r>
      <w:bookmarkEnd w:id="37"/>
      <w:r w:rsidR="00615149">
        <w:rPr>
          <w:noProof/>
        </w:rPr>
        <w:t>:</w:t>
      </w:r>
      <w:r>
        <w:t xml:space="preserve"> </w:t>
      </w:r>
      <w:r w:rsidR="00CF1300">
        <w:t>Monthly rainfall totals.</w:t>
      </w:r>
      <w:bookmarkEnd w:id="38"/>
    </w:p>
    <w:p w14:paraId="4A6B6BCE" w14:textId="77777777" w:rsidR="00DD7EA0" w:rsidRDefault="009B153B" w:rsidP="00DD7EA0">
      <w:pPr>
        <w:pStyle w:val="BodyText"/>
        <w:numPr>
          <w:ilvl w:val="0"/>
          <w:numId w:val="13"/>
        </w:numPr>
        <w:spacing w:before="0" w:after="0"/>
        <w:ind w:left="2127" w:hanging="327"/>
        <w:rPr>
          <w:b/>
          <w:color w:val="003263" w:themeColor="text2"/>
          <w:sz w:val="16"/>
          <w:szCs w:val="16"/>
        </w:rPr>
      </w:pPr>
      <w:r w:rsidRPr="00DD7EA0">
        <w:rPr>
          <w:b/>
          <w:color w:val="003263" w:themeColor="text2"/>
          <w:sz w:val="16"/>
          <w:szCs w:val="16"/>
        </w:rPr>
        <w:t>Geelong North BOM station 1980-1989 (box plots)</w:t>
      </w:r>
      <w:r w:rsidR="00DD7EA0">
        <w:rPr>
          <w:b/>
          <w:color w:val="003263" w:themeColor="text2"/>
          <w:sz w:val="16"/>
          <w:szCs w:val="16"/>
        </w:rPr>
        <w:t>; and</w:t>
      </w:r>
    </w:p>
    <w:p w14:paraId="16138C5D" w14:textId="77777777" w:rsidR="009B153B" w:rsidRPr="00DD7EA0" w:rsidRDefault="009B153B" w:rsidP="00DD7EA0">
      <w:pPr>
        <w:pStyle w:val="BodyText"/>
        <w:numPr>
          <w:ilvl w:val="0"/>
          <w:numId w:val="13"/>
        </w:numPr>
        <w:spacing w:before="0" w:after="0"/>
        <w:ind w:left="2127" w:hanging="327"/>
        <w:rPr>
          <w:b/>
          <w:color w:val="003263" w:themeColor="text2"/>
          <w:sz w:val="16"/>
          <w:szCs w:val="16"/>
        </w:rPr>
      </w:pPr>
      <w:r w:rsidRPr="00DD7EA0">
        <w:rPr>
          <w:b/>
          <w:color w:val="003263" w:themeColor="text2"/>
          <w:sz w:val="16"/>
          <w:szCs w:val="16"/>
        </w:rPr>
        <w:t>Anakie Road depot 2004-2017 (blue dots depicting median values)</w:t>
      </w:r>
      <w:r w:rsidR="00DD7EA0" w:rsidRPr="00DD7EA0">
        <w:rPr>
          <w:b/>
          <w:color w:val="003263" w:themeColor="text2"/>
          <w:sz w:val="16"/>
          <w:szCs w:val="16"/>
        </w:rPr>
        <w:t>.</w:t>
      </w:r>
    </w:p>
    <w:p w14:paraId="06FC8D0D" w14:textId="77777777" w:rsidR="009B153B" w:rsidRDefault="009B153B" w:rsidP="009B153B">
      <w:pPr>
        <w:jc w:val="both"/>
      </w:pPr>
    </w:p>
    <w:p w14:paraId="21BBE738" w14:textId="6AAD3E7E" w:rsidR="009B153B" w:rsidRDefault="00C865D0" w:rsidP="00615149">
      <w:pPr>
        <w:pStyle w:val="Heading2"/>
      </w:pPr>
      <w:bookmarkStart w:id="39" w:name="_Toc184645967"/>
      <w:r>
        <w:t>7.1</w:t>
      </w:r>
      <w:r>
        <w:tab/>
      </w:r>
      <w:r w:rsidR="009B153B">
        <w:t>Basic design parameters for stormwater reuse systems</w:t>
      </w:r>
      <w:bookmarkEnd w:id="39"/>
    </w:p>
    <w:p w14:paraId="40A20B5D" w14:textId="7A05DB31" w:rsidR="009B153B" w:rsidRDefault="009B153B" w:rsidP="00615149">
      <w:pPr>
        <w:spacing w:before="120"/>
        <w:jc w:val="both"/>
      </w:pPr>
      <w:r>
        <w:t xml:space="preserve">Stormwater reuse systems should aim to provide an alternative to potable water as the primary source with a minimum reliability of 75%, minimum total demand of 22 ML/year and yield of 16.5 ML/year. </w:t>
      </w:r>
      <w:r>
        <w:lastRenderedPageBreak/>
        <w:t xml:space="preserve">Smaller systems may be considered on a </w:t>
      </w:r>
      <w:r w:rsidR="00C865D0">
        <w:t>case-by-case</w:t>
      </w:r>
      <w:r>
        <w:t xml:space="preserve"> basis subject to agreement and approval in writing by the City. </w:t>
      </w:r>
    </w:p>
    <w:p w14:paraId="239AB538" w14:textId="77777777" w:rsidR="009B153B" w:rsidRDefault="009B153B" w:rsidP="00615149">
      <w:pPr>
        <w:spacing w:before="120"/>
        <w:jc w:val="both"/>
      </w:pPr>
      <w:r>
        <w:t xml:space="preserve">Any proposed re-use system must be discussed with the City’s Irrigation Manager (Parks and Gardens Department) to determine project specific requirements as part of the detailed design and approval process. </w:t>
      </w:r>
    </w:p>
    <w:p w14:paraId="0126F54C" w14:textId="3A87E86E" w:rsidR="009B153B" w:rsidRDefault="009B153B" w:rsidP="00615149">
      <w:pPr>
        <w:spacing w:before="120"/>
      </w:pPr>
      <w:r>
        <w:t xml:space="preserve">For reference, typical reuse demand figures are provided in </w:t>
      </w:r>
      <w:r>
        <w:fldChar w:fldCharType="begin"/>
      </w:r>
      <w:r>
        <w:instrText xml:space="preserve"> REF _Ref7418918 \h  \* MERGEFORMAT </w:instrText>
      </w:r>
      <w:r>
        <w:fldChar w:fldCharType="separate"/>
      </w:r>
      <w:r w:rsidR="00E228A6">
        <w:t xml:space="preserve">Table </w:t>
      </w:r>
      <w:r w:rsidR="00E228A6">
        <w:rPr>
          <w:noProof/>
        </w:rPr>
        <w:t>4</w:t>
      </w:r>
      <w:r>
        <w:fldChar w:fldCharType="end"/>
      </w:r>
      <w:r w:rsidR="00615149">
        <w:t>,</w:t>
      </w:r>
      <w:r>
        <w:t xml:space="preserve"> below. However, specific re-use demand must be discussed with the City’s Irrigation Manager (Parks and Gardens Department) to determine project specific requirements as part of the detailed design and approval process. Values for monthly distribution of irrigation demand are also provided for reference in</w:t>
      </w:r>
      <w:r w:rsidR="00615149">
        <w:t xml:space="preserve"> </w:t>
      </w:r>
      <w:r w:rsidR="00651409">
        <w:fldChar w:fldCharType="begin"/>
      </w:r>
      <w:r w:rsidR="00651409">
        <w:instrText xml:space="preserve"> REF _Ref24361777 \h </w:instrText>
      </w:r>
      <w:r w:rsidR="00651409">
        <w:fldChar w:fldCharType="separate"/>
      </w:r>
      <w:r w:rsidR="00E228A6">
        <w:t xml:space="preserve">Table </w:t>
      </w:r>
      <w:r w:rsidR="00E228A6">
        <w:rPr>
          <w:noProof/>
        </w:rPr>
        <w:t>5</w:t>
      </w:r>
      <w:r w:rsidR="00651409">
        <w:fldChar w:fldCharType="end"/>
      </w:r>
      <w:r w:rsidR="00651409">
        <w:t>, below</w:t>
      </w:r>
      <w:r>
        <w:t>.</w:t>
      </w:r>
    </w:p>
    <w:p w14:paraId="4E9D10D1" w14:textId="1BFE3F19" w:rsidR="009B153B" w:rsidRPr="002906B4" w:rsidRDefault="009B153B" w:rsidP="00615149">
      <w:pPr>
        <w:pStyle w:val="Caption"/>
        <w:jc w:val="center"/>
        <w:rPr>
          <w:i/>
          <w:sz w:val="8"/>
          <w:szCs w:val="8"/>
          <w:u w:val="single"/>
        </w:rPr>
      </w:pPr>
      <w:bookmarkStart w:id="40" w:name="_Ref7418918"/>
      <w:bookmarkStart w:id="41" w:name="_Toc184646018"/>
      <w:r>
        <w:t xml:space="preserve">Table </w:t>
      </w:r>
      <w:r>
        <w:fldChar w:fldCharType="begin"/>
      </w:r>
      <w:r>
        <w:instrText xml:space="preserve"> SEQ Table \* ARABIC </w:instrText>
      </w:r>
      <w:r>
        <w:fldChar w:fldCharType="separate"/>
      </w:r>
      <w:r w:rsidR="00E228A6">
        <w:rPr>
          <w:noProof/>
        </w:rPr>
        <w:t>4</w:t>
      </w:r>
      <w:r>
        <w:rPr>
          <w:noProof/>
        </w:rPr>
        <w:fldChar w:fldCharType="end"/>
      </w:r>
      <w:bookmarkEnd w:id="40"/>
      <w:r w:rsidR="00615149">
        <w:rPr>
          <w:noProof/>
        </w:rPr>
        <w:t>:</w:t>
      </w:r>
      <w:r>
        <w:t xml:space="preserve"> </w:t>
      </w:r>
      <w:r w:rsidR="00615149">
        <w:t>Typical re</w:t>
      </w:r>
      <w:r w:rsidRPr="007778C5">
        <w:t>use demand</w:t>
      </w:r>
      <w:r w:rsidR="003A1219">
        <w:t>.</w:t>
      </w:r>
      <w:bookmarkEnd w:id="41"/>
    </w:p>
    <w:tbl>
      <w:tblPr>
        <w:tblStyle w:val="TableGrid"/>
        <w:tblW w:w="5245" w:type="dxa"/>
        <w:jc w:val="center"/>
        <w:tblLayout w:type="fixed"/>
        <w:tblLook w:val="0620" w:firstRow="1" w:lastRow="0" w:firstColumn="0" w:lastColumn="0" w:noHBand="1" w:noVBand="1"/>
      </w:tblPr>
      <w:tblGrid>
        <w:gridCol w:w="2694"/>
        <w:gridCol w:w="2551"/>
      </w:tblGrid>
      <w:tr w:rsidR="009B153B" w:rsidRPr="00E27CA5" w14:paraId="3DFF4CA6" w14:textId="77777777" w:rsidTr="00651409">
        <w:trPr>
          <w:cnfStyle w:val="100000000000" w:firstRow="1" w:lastRow="0" w:firstColumn="0" w:lastColumn="0" w:oddVBand="0" w:evenVBand="0" w:oddHBand="0" w:evenHBand="0" w:firstRowFirstColumn="0" w:firstRowLastColumn="0" w:lastRowFirstColumn="0" w:lastRowLastColumn="0"/>
          <w:trHeight w:val="523"/>
          <w:jc w:val="center"/>
        </w:trPr>
        <w:tc>
          <w:tcPr>
            <w:tcW w:w="2694" w:type="dxa"/>
            <w:hideMark/>
          </w:tcPr>
          <w:p w14:paraId="7A9B0235" w14:textId="77777777" w:rsidR="009B153B" w:rsidRPr="000F1E85" w:rsidRDefault="009B153B" w:rsidP="00615149">
            <w:pPr>
              <w:pStyle w:val="TableText"/>
              <w:jc w:val="center"/>
            </w:pPr>
            <w:r w:rsidRPr="000F1E85">
              <w:t>Type</w:t>
            </w:r>
          </w:p>
        </w:tc>
        <w:tc>
          <w:tcPr>
            <w:tcW w:w="2551" w:type="dxa"/>
            <w:hideMark/>
          </w:tcPr>
          <w:p w14:paraId="27B0A038" w14:textId="77777777" w:rsidR="009B153B" w:rsidRPr="000F1E85" w:rsidRDefault="009B153B" w:rsidP="00615149">
            <w:pPr>
              <w:pStyle w:val="TableText"/>
              <w:jc w:val="center"/>
            </w:pPr>
            <w:r w:rsidRPr="000F1E85">
              <w:t>Typical Re</w:t>
            </w:r>
            <w:r>
              <w:t>u</w:t>
            </w:r>
            <w:r w:rsidRPr="000F1E85">
              <w:t>se Demand (ML/Ha/yr)</w:t>
            </w:r>
          </w:p>
        </w:tc>
      </w:tr>
      <w:tr w:rsidR="009B153B" w:rsidRPr="00E27CA5" w14:paraId="5EBA7B12" w14:textId="77777777" w:rsidTr="00651409">
        <w:trPr>
          <w:trHeight w:val="473"/>
          <w:jc w:val="center"/>
        </w:trPr>
        <w:tc>
          <w:tcPr>
            <w:tcW w:w="2694" w:type="dxa"/>
            <w:vAlign w:val="center"/>
            <w:hideMark/>
          </w:tcPr>
          <w:p w14:paraId="062C6103" w14:textId="77777777" w:rsidR="009B153B" w:rsidRPr="00615149" w:rsidRDefault="009B153B" w:rsidP="00615149">
            <w:pPr>
              <w:pStyle w:val="TableText"/>
              <w:spacing w:after="0" w:line="240" w:lineRule="auto"/>
              <w:jc w:val="center"/>
              <w:rPr>
                <w:b/>
              </w:rPr>
            </w:pPr>
            <w:r w:rsidRPr="00615149">
              <w:rPr>
                <w:b/>
              </w:rPr>
              <w:t>Warm Season Turf</w:t>
            </w:r>
          </w:p>
        </w:tc>
        <w:tc>
          <w:tcPr>
            <w:tcW w:w="2551" w:type="dxa"/>
            <w:vAlign w:val="center"/>
            <w:hideMark/>
          </w:tcPr>
          <w:p w14:paraId="6F92685C" w14:textId="77777777" w:rsidR="009B153B" w:rsidRPr="000F1E85" w:rsidRDefault="009B153B" w:rsidP="00615149">
            <w:pPr>
              <w:pStyle w:val="TableText"/>
              <w:spacing w:after="0" w:line="240" w:lineRule="auto"/>
              <w:jc w:val="center"/>
            </w:pPr>
            <w:r w:rsidRPr="000F1E85">
              <w:t>3.2</w:t>
            </w:r>
          </w:p>
        </w:tc>
      </w:tr>
      <w:tr w:rsidR="009B153B" w:rsidRPr="00E27CA5" w14:paraId="74499A79" w14:textId="77777777" w:rsidTr="00651409">
        <w:trPr>
          <w:trHeight w:val="422"/>
          <w:jc w:val="center"/>
        </w:trPr>
        <w:tc>
          <w:tcPr>
            <w:tcW w:w="2694" w:type="dxa"/>
            <w:vAlign w:val="center"/>
            <w:hideMark/>
          </w:tcPr>
          <w:p w14:paraId="33103FE0" w14:textId="77777777" w:rsidR="009B153B" w:rsidRPr="00615149" w:rsidRDefault="009B153B" w:rsidP="00615149">
            <w:pPr>
              <w:pStyle w:val="TableText"/>
              <w:spacing w:after="0" w:line="240" w:lineRule="auto"/>
              <w:jc w:val="center"/>
              <w:rPr>
                <w:b/>
              </w:rPr>
            </w:pPr>
            <w:r w:rsidRPr="00615149">
              <w:rPr>
                <w:b/>
              </w:rPr>
              <w:t>Cool Season Turf</w:t>
            </w:r>
          </w:p>
        </w:tc>
        <w:tc>
          <w:tcPr>
            <w:tcW w:w="2551" w:type="dxa"/>
            <w:vAlign w:val="center"/>
            <w:hideMark/>
          </w:tcPr>
          <w:p w14:paraId="116F4227" w14:textId="77777777" w:rsidR="009B153B" w:rsidRPr="000F1E85" w:rsidRDefault="009B153B" w:rsidP="00615149">
            <w:pPr>
              <w:pStyle w:val="TableText"/>
              <w:spacing w:after="0" w:line="240" w:lineRule="auto"/>
              <w:jc w:val="center"/>
            </w:pPr>
            <w:r w:rsidRPr="000F1E85">
              <w:t>4.5</w:t>
            </w:r>
          </w:p>
        </w:tc>
      </w:tr>
    </w:tbl>
    <w:p w14:paraId="46B7F8A9" w14:textId="77777777" w:rsidR="009B153B" w:rsidRDefault="009B153B" w:rsidP="009B153B">
      <w:bookmarkStart w:id="42" w:name="_Ref7418966"/>
    </w:p>
    <w:p w14:paraId="1ACB4A08" w14:textId="474CA21C" w:rsidR="009B153B" w:rsidRPr="00B63185" w:rsidRDefault="009B153B" w:rsidP="00615149">
      <w:pPr>
        <w:pStyle w:val="Caption"/>
        <w:jc w:val="center"/>
      </w:pPr>
      <w:bookmarkStart w:id="43" w:name="_Ref24361777"/>
      <w:bookmarkStart w:id="44" w:name="_Ref19627368"/>
      <w:bookmarkStart w:id="45" w:name="_Toc184646019"/>
      <w:bookmarkEnd w:id="42"/>
      <w:r>
        <w:t xml:space="preserve">Table </w:t>
      </w:r>
      <w:r>
        <w:fldChar w:fldCharType="begin"/>
      </w:r>
      <w:r>
        <w:instrText xml:space="preserve"> SEQ Table \* ARABIC </w:instrText>
      </w:r>
      <w:r>
        <w:fldChar w:fldCharType="separate"/>
      </w:r>
      <w:r w:rsidR="00E228A6">
        <w:rPr>
          <w:noProof/>
        </w:rPr>
        <w:t>5</w:t>
      </w:r>
      <w:r>
        <w:rPr>
          <w:noProof/>
        </w:rPr>
        <w:fldChar w:fldCharType="end"/>
      </w:r>
      <w:bookmarkEnd w:id="43"/>
      <w:r w:rsidR="00615149">
        <w:rPr>
          <w:noProof/>
        </w:rPr>
        <w:t>:</w:t>
      </w:r>
      <w:r>
        <w:t xml:space="preserve"> Monthly distribution of reuse demand</w:t>
      </w:r>
      <w:bookmarkEnd w:id="44"/>
      <w:r w:rsidR="003A1219">
        <w:t>.</w:t>
      </w:r>
      <w:bookmarkEnd w:id="45"/>
    </w:p>
    <w:tbl>
      <w:tblPr>
        <w:tblStyle w:val="TableGrid"/>
        <w:tblW w:w="9222" w:type="dxa"/>
        <w:tblLayout w:type="fixed"/>
        <w:tblLook w:val="0620" w:firstRow="1" w:lastRow="0" w:firstColumn="0" w:lastColumn="0" w:noHBand="1" w:noVBand="1"/>
      </w:tblPr>
      <w:tblGrid>
        <w:gridCol w:w="1426"/>
        <w:gridCol w:w="649"/>
        <w:gridCol w:w="650"/>
        <w:gridCol w:w="650"/>
        <w:gridCol w:w="649"/>
        <w:gridCol w:w="650"/>
        <w:gridCol w:w="650"/>
        <w:gridCol w:w="649"/>
        <w:gridCol w:w="650"/>
        <w:gridCol w:w="650"/>
        <w:gridCol w:w="649"/>
        <w:gridCol w:w="650"/>
        <w:gridCol w:w="650"/>
      </w:tblGrid>
      <w:tr w:rsidR="009B153B" w:rsidRPr="00E27CA5" w14:paraId="77E7C201" w14:textId="77777777" w:rsidTr="00615149">
        <w:trPr>
          <w:cnfStyle w:val="100000000000" w:firstRow="1" w:lastRow="0" w:firstColumn="0" w:lastColumn="0" w:oddVBand="0" w:evenVBand="0" w:oddHBand="0" w:evenHBand="0" w:firstRowFirstColumn="0" w:firstRowLastColumn="0" w:lastRowFirstColumn="0" w:lastRowLastColumn="0"/>
          <w:trHeight w:val="523"/>
        </w:trPr>
        <w:tc>
          <w:tcPr>
            <w:tcW w:w="1426" w:type="dxa"/>
            <w:hideMark/>
          </w:tcPr>
          <w:p w14:paraId="03E3D832" w14:textId="77777777" w:rsidR="009B153B" w:rsidRPr="000F1E85" w:rsidRDefault="009B153B" w:rsidP="00615149">
            <w:pPr>
              <w:pStyle w:val="TableText"/>
              <w:jc w:val="center"/>
            </w:pPr>
            <w:r w:rsidRPr="000F1E85">
              <w:t>Month</w:t>
            </w:r>
          </w:p>
        </w:tc>
        <w:tc>
          <w:tcPr>
            <w:tcW w:w="649" w:type="dxa"/>
            <w:hideMark/>
          </w:tcPr>
          <w:p w14:paraId="56E9ADFC" w14:textId="77777777" w:rsidR="009B153B" w:rsidRPr="000F1E85" w:rsidRDefault="009B153B" w:rsidP="00615149">
            <w:pPr>
              <w:pStyle w:val="TableText"/>
              <w:jc w:val="center"/>
            </w:pPr>
            <w:r w:rsidRPr="000F1E85">
              <w:t>Jan</w:t>
            </w:r>
          </w:p>
        </w:tc>
        <w:tc>
          <w:tcPr>
            <w:tcW w:w="650" w:type="dxa"/>
            <w:hideMark/>
          </w:tcPr>
          <w:p w14:paraId="5DC482BF" w14:textId="77777777" w:rsidR="009B153B" w:rsidRPr="000F1E85" w:rsidRDefault="009B153B" w:rsidP="00615149">
            <w:pPr>
              <w:pStyle w:val="TableText"/>
              <w:jc w:val="center"/>
            </w:pPr>
            <w:r w:rsidRPr="000F1E85">
              <w:t>Feb</w:t>
            </w:r>
          </w:p>
        </w:tc>
        <w:tc>
          <w:tcPr>
            <w:tcW w:w="650" w:type="dxa"/>
            <w:hideMark/>
          </w:tcPr>
          <w:p w14:paraId="56D8D04C" w14:textId="77777777" w:rsidR="009B153B" w:rsidRPr="000F1E85" w:rsidRDefault="009B153B" w:rsidP="00615149">
            <w:pPr>
              <w:pStyle w:val="TableText"/>
              <w:jc w:val="center"/>
            </w:pPr>
            <w:r w:rsidRPr="000F1E85">
              <w:t>Mar</w:t>
            </w:r>
          </w:p>
        </w:tc>
        <w:tc>
          <w:tcPr>
            <w:tcW w:w="649" w:type="dxa"/>
            <w:hideMark/>
          </w:tcPr>
          <w:p w14:paraId="56BBD790" w14:textId="77777777" w:rsidR="009B153B" w:rsidRPr="000F1E85" w:rsidRDefault="009B153B" w:rsidP="00615149">
            <w:pPr>
              <w:pStyle w:val="TableText"/>
              <w:jc w:val="center"/>
            </w:pPr>
            <w:r w:rsidRPr="000F1E85">
              <w:t>Apr</w:t>
            </w:r>
          </w:p>
        </w:tc>
        <w:tc>
          <w:tcPr>
            <w:tcW w:w="650" w:type="dxa"/>
            <w:hideMark/>
          </w:tcPr>
          <w:p w14:paraId="7F4994FD" w14:textId="77777777" w:rsidR="009B153B" w:rsidRPr="000F1E85" w:rsidRDefault="009B153B" w:rsidP="00615149">
            <w:pPr>
              <w:pStyle w:val="TableText"/>
              <w:jc w:val="center"/>
            </w:pPr>
            <w:r w:rsidRPr="000F1E85">
              <w:t>May</w:t>
            </w:r>
          </w:p>
        </w:tc>
        <w:tc>
          <w:tcPr>
            <w:tcW w:w="650" w:type="dxa"/>
            <w:hideMark/>
          </w:tcPr>
          <w:p w14:paraId="44E59A68" w14:textId="77777777" w:rsidR="009B153B" w:rsidRPr="000F1E85" w:rsidRDefault="009B153B" w:rsidP="00615149">
            <w:pPr>
              <w:pStyle w:val="TableText"/>
              <w:jc w:val="center"/>
            </w:pPr>
            <w:r w:rsidRPr="000F1E85">
              <w:t>June</w:t>
            </w:r>
          </w:p>
        </w:tc>
        <w:tc>
          <w:tcPr>
            <w:tcW w:w="649" w:type="dxa"/>
            <w:hideMark/>
          </w:tcPr>
          <w:p w14:paraId="37616238" w14:textId="77777777" w:rsidR="009B153B" w:rsidRPr="000F1E85" w:rsidRDefault="009B153B" w:rsidP="00615149">
            <w:pPr>
              <w:pStyle w:val="TableText"/>
              <w:jc w:val="center"/>
            </w:pPr>
            <w:r w:rsidRPr="000F1E85">
              <w:t>July</w:t>
            </w:r>
          </w:p>
        </w:tc>
        <w:tc>
          <w:tcPr>
            <w:tcW w:w="650" w:type="dxa"/>
            <w:hideMark/>
          </w:tcPr>
          <w:p w14:paraId="2E01E166" w14:textId="77777777" w:rsidR="009B153B" w:rsidRPr="000F1E85" w:rsidRDefault="009B153B" w:rsidP="00615149">
            <w:pPr>
              <w:pStyle w:val="TableText"/>
              <w:jc w:val="center"/>
            </w:pPr>
            <w:r w:rsidRPr="000F1E85">
              <w:t>Aug</w:t>
            </w:r>
          </w:p>
        </w:tc>
        <w:tc>
          <w:tcPr>
            <w:tcW w:w="650" w:type="dxa"/>
            <w:hideMark/>
          </w:tcPr>
          <w:p w14:paraId="1930E4D7" w14:textId="77777777" w:rsidR="009B153B" w:rsidRPr="000F1E85" w:rsidRDefault="009B153B" w:rsidP="00615149">
            <w:pPr>
              <w:pStyle w:val="TableText"/>
              <w:jc w:val="center"/>
            </w:pPr>
            <w:r w:rsidRPr="000F1E85">
              <w:t>Sept</w:t>
            </w:r>
          </w:p>
        </w:tc>
        <w:tc>
          <w:tcPr>
            <w:tcW w:w="649" w:type="dxa"/>
            <w:hideMark/>
          </w:tcPr>
          <w:p w14:paraId="03C7DD55" w14:textId="77777777" w:rsidR="009B153B" w:rsidRPr="000F1E85" w:rsidRDefault="009B153B" w:rsidP="00615149">
            <w:pPr>
              <w:pStyle w:val="TableText"/>
              <w:jc w:val="center"/>
            </w:pPr>
            <w:r w:rsidRPr="000F1E85">
              <w:t>Oct</w:t>
            </w:r>
          </w:p>
        </w:tc>
        <w:tc>
          <w:tcPr>
            <w:tcW w:w="650" w:type="dxa"/>
            <w:hideMark/>
          </w:tcPr>
          <w:p w14:paraId="2582B576" w14:textId="77777777" w:rsidR="009B153B" w:rsidRPr="000F1E85" w:rsidRDefault="009B153B" w:rsidP="00615149">
            <w:pPr>
              <w:pStyle w:val="TableText"/>
              <w:jc w:val="center"/>
            </w:pPr>
            <w:r w:rsidRPr="000F1E85">
              <w:t>Nov</w:t>
            </w:r>
          </w:p>
        </w:tc>
        <w:tc>
          <w:tcPr>
            <w:tcW w:w="650" w:type="dxa"/>
            <w:hideMark/>
          </w:tcPr>
          <w:p w14:paraId="22783075" w14:textId="77777777" w:rsidR="009B153B" w:rsidRPr="000F1E85" w:rsidRDefault="009B153B" w:rsidP="00615149">
            <w:pPr>
              <w:pStyle w:val="TableText"/>
              <w:jc w:val="center"/>
            </w:pPr>
            <w:r w:rsidRPr="000F1E85">
              <w:t>Dec</w:t>
            </w:r>
          </w:p>
        </w:tc>
      </w:tr>
      <w:tr w:rsidR="009B153B" w:rsidRPr="00E27CA5" w14:paraId="78D359E8" w14:textId="77777777" w:rsidTr="00615149">
        <w:trPr>
          <w:trHeight w:val="700"/>
        </w:trPr>
        <w:tc>
          <w:tcPr>
            <w:tcW w:w="1426" w:type="dxa"/>
            <w:hideMark/>
          </w:tcPr>
          <w:p w14:paraId="110AA7D6" w14:textId="77777777" w:rsidR="009B153B" w:rsidRPr="000F1E85" w:rsidRDefault="009B153B" w:rsidP="00615149">
            <w:pPr>
              <w:pStyle w:val="TableText"/>
              <w:jc w:val="center"/>
            </w:pPr>
            <w:r w:rsidRPr="000F1E85">
              <w:rPr>
                <w:b/>
              </w:rPr>
              <w:t>% of annual demand</w:t>
            </w:r>
          </w:p>
        </w:tc>
        <w:tc>
          <w:tcPr>
            <w:tcW w:w="649" w:type="dxa"/>
            <w:hideMark/>
          </w:tcPr>
          <w:p w14:paraId="60D57FCD" w14:textId="77777777" w:rsidR="009B153B" w:rsidRPr="000F1E85" w:rsidRDefault="009B153B" w:rsidP="00615149">
            <w:pPr>
              <w:pStyle w:val="TableText"/>
              <w:jc w:val="center"/>
            </w:pPr>
            <w:r w:rsidRPr="000F1E85">
              <w:t>29</w:t>
            </w:r>
          </w:p>
        </w:tc>
        <w:tc>
          <w:tcPr>
            <w:tcW w:w="650" w:type="dxa"/>
            <w:hideMark/>
          </w:tcPr>
          <w:p w14:paraId="7994CB1D" w14:textId="77777777" w:rsidR="009B153B" w:rsidRPr="000F1E85" w:rsidRDefault="009B153B" w:rsidP="00615149">
            <w:pPr>
              <w:pStyle w:val="TableText"/>
              <w:jc w:val="center"/>
            </w:pPr>
            <w:r w:rsidRPr="000F1E85">
              <w:t>19</w:t>
            </w:r>
          </w:p>
        </w:tc>
        <w:tc>
          <w:tcPr>
            <w:tcW w:w="650" w:type="dxa"/>
            <w:hideMark/>
          </w:tcPr>
          <w:p w14:paraId="5C410A19" w14:textId="77777777" w:rsidR="009B153B" w:rsidRPr="000F1E85" w:rsidRDefault="009B153B" w:rsidP="00615149">
            <w:pPr>
              <w:pStyle w:val="TableText"/>
              <w:jc w:val="center"/>
            </w:pPr>
            <w:r w:rsidRPr="000F1E85">
              <w:t>13</w:t>
            </w:r>
          </w:p>
        </w:tc>
        <w:tc>
          <w:tcPr>
            <w:tcW w:w="649" w:type="dxa"/>
            <w:hideMark/>
          </w:tcPr>
          <w:p w14:paraId="462D56F2" w14:textId="77777777" w:rsidR="009B153B" w:rsidRPr="000F1E85" w:rsidRDefault="009B153B" w:rsidP="00615149">
            <w:pPr>
              <w:pStyle w:val="TableText"/>
              <w:jc w:val="center"/>
            </w:pPr>
            <w:r w:rsidRPr="000F1E85">
              <w:t>1</w:t>
            </w:r>
          </w:p>
        </w:tc>
        <w:tc>
          <w:tcPr>
            <w:tcW w:w="650" w:type="dxa"/>
            <w:hideMark/>
          </w:tcPr>
          <w:p w14:paraId="546D510A" w14:textId="77777777" w:rsidR="009B153B" w:rsidRPr="000F1E85" w:rsidRDefault="009B153B" w:rsidP="00615149">
            <w:pPr>
              <w:pStyle w:val="TableText"/>
              <w:jc w:val="center"/>
            </w:pPr>
            <w:r w:rsidRPr="000F1E85">
              <w:t>0</w:t>
            </w:r>
          </w:p>
        </w:tc>
        <w:tc>
          <w:tcPr>
            <w:tcW w:w="650" w:type="dxa"/>
            <w:hideMark/>
          </w:tcPr>
          <w:p w14:paraId="00CABF48" w14:textId="77777777" w:rsidR="009B153B" w:rsidRPr="000F1E85" w:rsidRDefault="009B153B" w:rsidP="00615149">
            <w:pPr>
              <w:pStyle w:val="TableText"/>
              <w:jc w:val="center"/>
            </w:pPr>
            <w:r w:rsidRPr="000F1E85">
              <w:t>0</w:t>
            </w:r>
          </w:p>
        </w:tc>
        <w:tc>
          <w:tcPr>
            <w:tcW w:w="649" w:type="dxa"/>
            <w:hideMark/>
          </w:tcPr>
          <w:p w14:paraId="7D18EE0A" w14:textId="77777777" w:rsidR="009B153B" w:rsidRPr="000F1E85" w:rsidRDefault="009B153B" w:rsidP="00615149">
            <w:pPr>
              <w:pStyle w:val="TableText"/>
              <w:jc w:val="center"/>
            </w:pPr>
            <w:r w:rsidRPr="000F1E85">
              <w:t>0</w:t>
            </w:r>
          </w:p>
        </w:tc>
        <w:tc>
          <w:tcPr>
            <w:tcW w:w="650" w:type="dxa"/>
            <w:hideMark/>
          </w:tcPr>
          <w:p w14:paraId="40710160" w14:textId="77777777" w:rsidR="009B153B" w:rsidRPr="000F1E85" w:rsidRDefault="009B153B" w:rsidP="00615149">
            <w:pPr>
              <w:pStyle w:val="TableText"/>
              <w:jc w:val="center"/>
            </w:pPr>
            <w:r w:rsidRPr="000F1E85">
              <w:t>0</w:t>
            </w:r>
          </w:p>
        </w:tc>
        <w:tc>
          <w:tcPr>
            <w:tcW w:w="650" w:type="dxa"/>
            <w:hideMark/>
          </w:tcPr>
          <w:p w14:paraId="4A4E9C1D" w14:textId="77777777" w:rsidR="009B153B" w:rsidRPr="000F1E85" w:rsidRDefault="009B153B" w:rsidP="00615149">
            <w:pPr>
              <w:pStyle w:val="TableText"/>
              <w:jc w:val="center"/>
            </w:pPr>
            <w:r w:rsidRPr="000F1E85">
              <w:t>0</w:t>
            </w:r>
          </w:p>
        </w:tc>
        <w:tc>
          <w:tcPr>
            <w:tcW w:w="649" w:type="dxa"/>
            <w:hideMark/>
          </w:tcPr>
          <w:p w14:paraId="44C7CF04" w14:textId="77777777" w:rsidR="009B153B" w:rsidRPr="000F1E85" w:rsidRDefault="009B153B" w:rsidP="00615149">
            <w:pPr>
              <w:pStyle w:val="TableText"/>
              <w:jc w:val="center"/>
            </w:pPr>
            <w:r w:rsidRPr="000F1E85">
              <w:t>1</w:t>
            </w:r>
          </w:p>
        </w:tc>
        <w:tc>
          <w:tcPr>
            <w:tcW w:w="650" w:type="dxa"/>
            <w:hideMark/>
          </w:tcPr>
          <w:p w14:paraId="405D950F" w14:textId="77777777" w:rsidR="009B153B" w:rsidRPr="000F1E85" w:rsidRDefault="009B153B" w:rsidP="00615149">
            <w:pPr>
              <w:pStyle w:val="TableText"/>
              <w:jc w:val="center"/>
            </w:pPr>
            <w:r w:rsidRPr="000F1E85">
              <w:t>13</w:t>
            </w:r>
          </w:p>
        </w:tc>
        <w:tc>
          <w:tcPr>
            <w:tcW w:w="650" w:type="dxa"/>
            <w:hideMark/>
          </w:tcPr>
          <w:p w14:paraId="612C3AA9" w14:textId="77777777" w:rsidR="009B153B" w:rsidRPr="000F1E85" w:rsidRDefault="009B153B" w:rsidP="00615149">
            <w:pPr>
              <w:pStyle w:val="TableText"/>
              <w:jc w:val="center"/>
            </w:pPr>
            <w:r w:rsidRPr="000F1E85">
              <w:t>24</w:t>
            </w:r>
          </w:p>
        </w:tc>
      </w:tr>
    </w:tbl>
    <w:p w14:paraId="5F2D046D" w14:textId="77777777" w:rsidR="009B153B" w:rsidRDefault="009B153B" w:rsidP="009B153B">
      <w:pPr>
        <w:jc w:val="both"/>
      </w:pPr>
    </w:p>
    <w:p w14:paraId="5D0FC035" w14:textId="2D65778E" w:rsidR="009B153B" w:rsidRPr="00921DD3" w:rsidRDefault="00C865D0" w:rsidP="003258E8">
      <w:pPr>
        <w:pStyle w:val="Heading3"/>
      </w:pPr>
      <w:bookmarkStart w:id="46" w:name="_Toc184645968"/>
      <w:r>
        <w:t>7.1.1</w:t>
      </w:r>
      <w:r>
        <w:tab/>
      </w:r>
      <w:r w:rsidR="009B153B" w:rsidRPr="00921DD3">
        <w:t>Total and directly connected impervious</w:t>
      </w:r>
      <w:bookmarkEnd w:id="46"/>
    </w:p>
    <w:p w14:paraId="404D9FB3" w14:textId="77777777" w:rsidR="009B153B" w:rsidRDefault="009B153B" w:rsidP="003258E8">
      <w:pPr>
        <w:spacing w:before="120"/>
        <w:jc w:val="both"/>
      </w:pPr>
      <w:r>
        <w:t xml:space="preserve">It is recognised that flow volumes from existing areas may be over-estimated if the total impervious (TI) fraction, rather than directly connected impervious (DCI) fraction is used. Calibration studies to observed flows suggest that the ratio of DCI:TI may average around 66% but vary from as low as 30% up to 90% for established urban areas. Where a stormwater reuse scheme is treating and reusing water from a </w:t>
      </w:r>
      <w:r w:rsidRPr="007778C5">
        <w:rPr>
          <w:i/>
        </w:rPr>
        <w:t>well-established existing area</w:t>
      </w:r>
      <w:r>
        <w:t xml:space="preserve">, impervious fractions for the catchment should be based on estimated DCI using a DCI:TI ratio of 66%. </w:t>
      </w:r>
    </w:p>
    <w:p w14:paraId="7CF465D3" w14:textId="77777777" w:rsidR="009B153B" w:rsidRPr="003258E8" w:rsidRDefault="009B153B" w:rsidP="003258E8">
      <w:pPr>
        <w:spacing w:before="120"/>
        <w:jc w:val="both"/>
        <w:rPr>
          <w:i/>
          <w:u w:val="single"/>
        </w:rPr>
      </w:pPr>
      <w:r w:rsidRPr="003258E8">
        <w:rPr>
          <w:i/>
          <w:u w:val="single"/>
        </w:rPr>
        <w:t>NOTE: TI must be used for the design of treatment assets for all new developments as they typically have high levels of imperviousness and drainage connection and a higher proportion of connectivity should conservatively be assumed.</w:t>
      </w:r>
    </w:p>
    <w:p w14:paraId="46F33AA6" w14:textId="77777777" w:rsidR="009B153B" w:rsidRDefault="009B153B" w:rsidP="003258E8">
      <w:pPr>
        <w:spacing w:before="120"/>
        <w:jc w:val="both"/>
      </w:pPr>
      <w:r>
        <w:t>Where diversions and pumps are used to divert flows for a stormwater reuse scheme, the modelling should reflect anticipated real conditions. This includes, bypass of low flows to preserve baseflows where needed and bypass of high flows above the design. This is important, even at concept level, to avoid over-stating potential reuse volumes captured.</w:t>
      </w:r>
    </w:p>
    <w:p w14:paraId="7C1DDAD4" w14:textId="77777777" w:rsidR="009B153B" w:rsidRDefault="009B153B" w:rsidP="003258E8">
      <w:pPr>
        <w:spacing w:before="120"/>
        <w:jc w:val="both"/>
      </w:pPr>
      <w:r>
        <w:t xml:space="preserve">Where diversions occur, these should not adversely impact upon baseflows for receiving waterways. Baseflows should be separated and bypassed with a diversion for catchments greater than 100 ha unless otherwise agreed in writing by the City. </w:t>
      </w:r>
    </w:p>
    <w:p w14:paraId="2060DFC5" w14:textId="77777777" w:rsidR="009B153B" w:rsidRDefault="009B153B" w:rsidP="003258E8">
      <w:pPr>
        <w:spacing w:before="120"/>
        <w:jc w:val="both"/>
      </w:pPr>
      <w:r>
        <w:lastRenderedPageBreak/>
        <w:t>The low flow bypass rate should be calculated such that the volume of water bypassed is not less than the total baseflow volume expected from the upstream catchment. This may be estimated using the node water balance for the upstream source nodes in MUSIC or more sophisticated analysis considering observed flows for the waterway for larger schemes.</w:t>
      </w:r>
    </w:p>
    <w:p w14:paraId="3F7539A5" w14:textId="77777777" w:rsidR="009B153B" w:rsidRDefault="009B153B" w:rsidP="003258E8">
      <w:pPr>
        <w:spacing w:before="120"/>
        <w:jc w:val="both"/>
      </w:pPr>
      <w:r>
        <w:t>The design flow rate for treatment and diversion should be estimated using rational method or a hydrologic model such as RORB. This should be the 4 EY (1 in 3 month ARI).</w:t>
      </w:r>
    </w:p>
    <w:p w14:paraId="0F3147CF" w14:textId="77777777" w:rsidR="009B153B" w:rsidRDefault="009B153B" w:rsidP="003258E8">
      <w:pPr>
        <w:spacing w:before="120"/>
        <w:jc w:val="both"/>
      </w:pPr>
      <w:r>
        <w:t>Weir overflows from an upstream sediment basin or wetland inlet pond should be diverted around the stormwater storage to ensure only fully treated flows are directed to reuse.</w:t>
      </w:r>
    </w:p>
    <w:p w14:paraId="709C9402" w14:textId="77777777" w:rsidR="009B153B" w:rsidRDefault="009B153B" w:rsidP="009B153B"/>
    <w:p w14:paraId="42AE422F" w14:textId="77777777" w:rsidR="009B153B" w:rsidRPr="00287BC2" w:rsidRDefault="009B153B" w:rsidP="009B153B"/>
    <w:p w14:paraId="6AA515CF" w14:textId="77777777" w:rsidR="009B153B" w:rsidRPr="00287BC2" w:rsidRDefault="009B153B" w:rsidP="009B153B"/>
    <w:p w14:paraId="1BDC28B5" w14:textId="77777777" w:rsidR="009B153B" w:rsidRDefault="009B153B" w:rsidP="009B153B"/>
    <w:p w14:paraId="6812639F" w14:textId="38510664" w:rsidR="009B153B" w:rsidRPr="00CC5D50" w:rsidRDefault="00356B4A" w:rsidP="0039142D">
      <w:pPr>
        <w:pStyle w:val="Heading1"/>
        <w:framePr w:wrap="around"/>
        <w:ind w:left="709" w:right="681"/>
      </w:pPr>
      <w:bookmarkStart w:id="47" w:name="_Toc19695210"/>
      <w:bookmarkStart w:id="48" w:name="_Toc184645969"/>
      <w:r>
        <w:lastRenderedPageBreak/>
        <w:t>8.0</w:t>
      </w:r>
      <w:r>
        <w:tab/>
      </w:r>
      <w:r w:rsidR="009B153B" w:rsidRPr="00CC5D50">
        <w:t>MUSIC Auditor and Wetland Analysis Tool</w:t>
      </w:r>
      <w:bookmarkEnd w:id="47"/>
      <w:bookmarkEnd w:id="48"/>
    </w:p>
    <w:p w14:paraId="2484A99F" w14:textId="77777777" w:rsidR="009B153B" w:rsidRPr="00CC5D50" w:rsidRDefault="009B153B" w:rsidP="00200716">
      <w:pPr>
        <w:spacing w:before="120"/>
        <w:rPr>
          <w:color w:val="000000"/>
          <w:szCs w:val="20"/>
        </w:rPr>
      </w:pPr>
      <w:r w:rsidRPr="00CC5D50">
        <w:rPr>
          <w:color w:val="000000"/>
          <w:szCs w:val="20"/>
        </w:rPr>
        <w:t>The MUSIC auditor is a tool that has been developed for checking the parameter inputs to MUSIC models to ensure they comply with relevant guidelines and are within expected or reasonable ranges. The MUSIC Auditor is intended for use by suitably experienced professionals with an understanding of WSUD and the MUSIC software.</w:t>
      </w:r>
    </w:p>
    <w:p w14:paraId="106C10F5" w14:textId="77777777" w:rsidR="009B153B" w:rsidRPr="00CC5D50" w:rsidRDefault="009B153B" w:rsidP="00200716">
      <w:pPr>
        <w:spacing w:before="120"/>
      </w:pPr>
      <w:r w:rsidRPr="00CC5D50">
        <w:rPr>
          <w:color w:val="000000"/>
          <w:szCs w:val="20"/>
        </w:rPr>
        <w:t xml:space="preserve">The MUSIC Auditor is free for anyone to use within Melbourne Water's area of responsibility and the City of Greater Geelong and can be accessed using the following website: </w:t>
      </w:r>
      <w:r w:rsidRPr="00CC5D50">
        <w:rPr>
          <w:color w:val="003263" w:themeColor="text2"/>
          <w:szCs w:val="20"/>
          <w:u w:val="single"/>
        </w:rPr>
        <w:t>http://www.musicauditor.com.au/</w:t>
      </w:r>
    </w:p>
    <w:p w14:paraId="1CD33277" w14:textId="77777777" w:rsidR="009B153B" w:rsidRPr="00CC5D50" w:rsidRDefault="009B153B" w:rsidP="00200716">
      <w:pPr>
        <w:spacing w:before="120"/>
      </w:pPr>
      <w:r w:rsidRPr="00CC5D50">
        <w:t>The Wetland Analysis Tool can also be accessed from the MUSIC Auditor website:</w:t>
      </w:r>
      <w:r w:rsidRPr="00CC5D50">
        <w:br/>
      </w:r>
      <w:hyperlink r:id="rId31" w:history="1">
        <w:r w:rsidRPr="00CC5D50">
          <w:rPr>
            <w:rStyle w:val="Hyperlink"/>
            <w:color w:val="003263" w:themeColor="text2"/>
          </w:rPr>
          <w:t>https://www.musicauditor.com.au/wetlandanalysistool</w:t>
        </w:r>
      </w:hyperlink>
    </w:p>
    <w:p w14:paraId="6D43C031" w14:textId="77777777" w:rsidR="00200716" w:rsidRPr="00CC5D50" w:rsidRDefault="009B153B" w:rsidP="00200716">
      <w:pPr>
        <w:pStyle w:val="BodyText"/>
      </w:pPr>
      <w:r w:rsidRPr="00CC5D50">
        <w:t>The Wetland Analysis Tool allows the proposed design and inundation patterns of a wetland to be assessed to ensure they meet minimum requirements so that the wetland is likely to be able to sustain healthy plant</w:t>
      </w:r>
      <w:r w:rsidR="00200716" w:rsidRPr="00CC5D50">
        <w:t>s. This includes assessment of:</w:t>
      </w:r>
    </w:p>
    <w:p w14:paraId="5B310425" w14:textId="77777777" w:rsidR="009B153B" w:rsidRPr="00CC5D50" w:rsidRDefault="009B153B" w:rsidP="00200716">
      <w:pPr>
        <w:pStyle w:val="ListBullet"/>
      </w:pPr>
      <w:r w:rsidRPr="00CC5D50">
        <w:t>Water levels exceeded 20% of the time relative to plants heights</w:t>
      </w:r>
      <w:r w:rsidR="00200716" w:rsidRPr="00CC5D50">
        <w:t>.</w:t>
      </w:r>
    </w:p>
    <w:p w14:paraId="0278F276" w14:textId="77777777" w:rsidR="009B153B" w:rsidRPr="00CC5D50" w:rsidRDefault="009B153B" w:rsidP="00200716">
      <w:pPr>
        <w:pStyle w:val="ListBullet"/>
      </w:pPr>
      <w:r w:rsidRPr="00CC5D50">
        <w:t>Water level exceeded 50% of the time establishing the effective water level</w:t>
      </w:r>
      <w:r w:rsidR="00200716" w:rsidRPr="00CC5D50">
        <w:t>.</w:t>
      </w:r>
    </w:p>
    <w:p w14:paraId="74FA455F" w14:textId="77777777" w:rsidR="009B153B" w:rsidRPr="00CC5D50" w:rsidRDefault="009B153B" w:rsidP="00200716">
      <w:pPr>
        <w:pStyle w:val="ListBullet"/>
      </w:pPr>
      <w:r w:rsidRPr="00CC5D50">
        <w:t>The frequency and duration of spells where the wetland is at a significant depth may put plants at risk</w:t>
      </w:r>
      <w:r w:rsidR="00200716" w:rsidRPr="00CC5D50">
        <w:t>.</w:t>
      </w:r>
    </w:p>
    <w:p w14:paraId="404449AC" w14:textId="77777777" w:rsidR="009B153B" w:rsidRPr="00CC5D50" w:rsidRDefault="009B153B" w:rsidP="00200716">
      <w:pPr>
        <w:pStyle w:val="ListBullet"/>
      </w:pPr>
      <w:r w:rsidRPr="00CC5D50">
        <w:t>The residence time of the wetland is &gt;= 72 hours to ensure adequate time for treatment of nitrogen – this replaces the notional detention time for wetlands using a custom stage-storage-discharge relationship</w:t>
      </w:r>
      <w:r w:rsidR="00200716" w:rsidRPr="00CC5D50">
        <w:t>.</w:t>
      </w:r>
    </w:p>
    <w:p w14:paraId="07F6CEC3" w14:textId="7F555A45" w:rsidR="009B153B" w:rsidRDefault="00356B4A" w:rsidP="0039142D">
      <w:pPr>
        <w:pStyle w:val="Heading1"/>
        <w:framePr w:wrap="around"/>
        <w:ind w:left="709" w:right="681"/>
      </w:pPr>
      <w:bookmarkStart w:id="49" w:name="_Toc19695211"/>
      <w:bookmarkStart w:id="50" w:name="_Toc184645970"/>
      <w:r>
        <w:lastRenderedPageBreak/>
        <w:t>9.0</w:t>
      </w:r>
      <w:r>
        <w:tab/>
      </w:r>
      <w:r w:rsidR="0039142D">
        <w:t>Submission Requirements for MUSIC M</w:t>
      </w:r>
      <w:r w:rsidR="009B153B">
        <w:t>odelling</w:t>
      </w:r>
      <w:bookmarkEnd w:id="49"/>
      <w:bookmarkEnd w:id="50"/>
    </w:p>
    <w:p w14:paraId="2266C9A9" w14:textId="77777777" w:rsidR="009B153B" w:rsidRDefault="009B153B" w:rsidP="009B153B">
      <w:r>
        <w:t>Specific submission requirements should be discussed with the City with the following list to be used as a guide.</w:t>
      </w:r>
    </w:p>
    <w:p w14:paraId="5C53226C" w14:textId="77777777" w:rsidR="009B153B" w:rsidRPr="003D571A" w:rsidRDefault="009B153B" w:rsidP="009B153B"/>
    <w:p w14:paraId="7C5C74C1" w14:textId="238A4261" w:rsidR="009B153B" w:rsidRPr="003D571A" w:rsidRDefault="00C865D0" w:rsidP="00AA2B41">
      <w:pPr>
        <w:pStyle w:val="Heading2"/>
      </w:pPr>
      <w:bookmarkStart w:id="51" w:name="_Toc184645971"/>
      <w:r>
        <w:t>9.1</w:t>
      </w:r>
      <w:r>
        <w:tab/>
      </w:r>
      <w:r w:rsidR="009B153B">
        <w:t>C</w:t>
      </w:r>
      <w:r w:rsidR="009B153B" w:rsidRPr="003D571A">
        <w:t>oncept design</w:t>
      </w:r>
      <w:bookmarkEnd w:id="51"/>
    </w:p>
    <w:p w14:paraId="01F8030F" w14:textId="77777777" w:rsidR="009B153B" w:rsidRPr="0011075C" w:rsidRDefault="009B153B" w:rsidP="007845BD">
      <w:pPr>
        <w:pStyle w:val="ListNumber"/>
        <w:numPr>
          <w:ilvl w:val="0"/>
          <w:numId w:val="9"/>
        </w:numPr>
      </w:pPr>
      <w:r w:rsidRPr="0011075C">
        <w:t xml:space="preserve">Summary of MUSIC modelling (or alternative method or models), including: </w:t>
      </w:r>
    </w:p>
    <w:p w14:paraId="2299FC24" w14:textId="77777777" w:rsidR="009B153B" w:rsidRPr="0011075C" w:rsidRDefault="009B153B" w:rsidP="00AA2B41">
      <w:pPr>
        <w:pStyle w:val="ListNumber2"/>
      </w:pPr>
      <w:r w:rsidRPr="0011075C">
        <w:t xml:space="preserve">version of MUSIC </w:t>
      </w:r>
    </w:p>
    <w:p w14:paraId="086AB292" w14:textId="77777777" w:rsidR="009B153B" w:rsidRPr="0011075C" w:rsidRDefault="009B153B" w:rsidP="00AA2B41">
      <w:pPr>
        <w:pStyle w:val="ListNumber2"/>
      </w:pPr>
      <w:r w:rsidRPr="0011075C">
        <w:t xml:space="preserve">meteorological data used </w:t>
      </w:r>
    </w:p>
    <w:p w14:paraId="00514C15" w14:textId="77777777" w:rsidR="009B153B" w:rsidRPr="0011075C" w:rsidRDefault="009B153B" w:rsidP="00AA2B41">
      <w:pPr>
        <w:pStyle w:val="ListNumber2"/>
      </w:pPr>
      <w:r w:rsidRPr="0011075C">
        <w:t xml:space="preserve">map outlining catchment areas and direction of flows </w:t>
      </w:r>
    </w:p>
    <w:p w14:paraId="49E06837" w14:textId="77777777" w:rsidR="009B153B" w:rsidRPr="0011075C" w:rsidRDefault="009B153B" w:rsidP="00AA2B41">
      <w:pPr>
        <w:pStyle w:val="ListNumber2"/>
      </w:pPr>
      <w:r>
        <w:t xml:space="preserve">calculations and </w:t>
      </w:r>
      <w:r w:rsidRPr="0011075C">
        <w:t xml:space="preserve">justification for choice of source node impervious percentage </w:t>
      </w:r>
    </w:p>
    <w:p w14:paraId="410AF4BA" w14:textId="77777777" w:rsidR="009B153B" w:rsidRPr="0011075C" w:rsidRDefault="009B153B" w:rsidP="00AA2B41">
      <w:pPr>
        <w:pStyle w:val="ListNumber2"/>
      </w:pPr>
      <w:r w:rsidRPr="0011075C">
        <w:t xml:space="preserve">any routing used </w:t>
      </w:r>
      <w:r>
        <w:t>and calculations</w:t>
      </w:r>
    </w:p>
    <w:p w14:paraId="5C5B5744" w14:textId="77777777" w:rsidR="009B153B" w:rsidRPr="0011075C" w:rsidRDefault="009B153B" w:rsidP="00AA2B41">
      <w:pPr>
        <w:pStyle w:val="ListNumber2"/>
      </w:pPr>
      <w:r w:rsidRPr="0011075C">
        <w:t xml:space="preserve">treatment node parameters </w:t>
      </w:r>
    </w:p>
    <w:p w14:paraId="372FA16C" w14:textId="77777777" w:rsidR="009B153B" w:rsidRPr="0011075C" w:rsidRDefault="009B153B" w:rsidP="00AA2B41">
      <w:pPr>
        <w:pStyle w:val="ListNumber2"/>
      </w:pPr>
      <w:r w:rsidRPr="0011075C">
        <w:t>any modelling parameters that are not in ac</w:t>
      </w:r>
      <w:r>
        <w:t xml:space="preserve">cordance with this document and Melbourne Water’s </w:t>
      </w:r>
      <w:r w:rsidRPr="0011075C">
        <w:t>MUSIC Modelling Guidelines</w:t>
      </w:r>
      <w:r>
        <w:t xml:space="preserve"> with justification for variations</w:t>
      </w:r>
    </w:p>
    <w:p w14:paraId="39507E48" w14:textId="77777777" w:rsidR="009B153B" w:rsidRPr="0011075C" w:rsidRDefault="009B153B" w:rsidP="00AA2B41">
      <w:pPr>
        <w:pStyle w:val="ListNumber2"/>
      </w:pPr>
      <w:r w:rsidRPr="0011075C">
        <w:t xml:space="preserve">pollutant removal results </w:t>
      </w:r>
    </w:p>
    <w:p w14:paraId="60096606" w14:textId="77777777" w:rsidR="009B153B" w:rsidRDefault="009B153B" w:rsidP="00AA2B41">
      <w:pPr>
        <w:pStyle w:val="ListNumber"/>
      </w:pPr>
      <w:r w:rsidRPr="0011075C">
        <w:t xml:space="preserve">A copy of the MUSIC model </w:t>
      </w:r>
    </w:p>
    <w:p w14:paraId="639BD429" w14:textId="77777777" w:rsidR="009B153B" w:rsidRDefault="009B153B" w:rsidP="00AA2B41">
      <w:pPr>
        <w:pStyle w:val="ListNumber"/>
      </w:pPr>
      <w:r>
        <w:t>A report from the MUSIC Auditor tool (</w:t>
      </w:r>
      <w:hyperlink r:id="rId32" w:history="1">
        <w:r w:rsidRPr="00AA2B41">
          <w:rPr>
            <w:rStyle w:val="Hyperlink"/>
            <w:color w:val="003263" w:themeColor="text2"/>
          </w:rPr>
          <w:t>www.musicauditor.com.au</w:t>
        </w:r>
      </w:hyperlink>
      <w:r>
        <w:t>)</w:t>
      </w:r>
    </w:p>
    <w:p w14:paraId="6C271CE2" w14:textId="77777777" w:rsidR="009B153B" w:rsidRPr="003D571A" w:rsidRDefault="009B153B" w:rsidP="00AA2B41">
      <w:pPr>
        <w:pStyle w:val="ListNumber"/>
      </w:pPr>
      <w:r w:rsidRPr="0011075C">
        <w:t>Drawings of the treatment system, including placements, which match the model.</w:t>
      </w:r>
    </w:p>
    <w:p w14:paraId="338BEAD6" w14:textId="77777777" w:rsidR="009B153B" w:rsidRPr="003D571A" w:rsidRDefault="009B153B" w:rsidP="009B153B">
      <w:pPr>
        <w:spacing w:line="264" w:lineRule="auto"/>
      </w:pPr>
    </w:p>
    <w:p w14:paraId="19BCDA67" w14:textId="7A0FA9AB" w:rsidR="009B153B" w:rsidRPr="003D571A" w:rsidRDefault="00C865D0" w:rsidP="00AA2B41">
      <w:pPr>
        <w:pStyle w:val="Heading2"/>
      </w:pPr>
      <w:bookmarkStart w:id="52" w:name="_Toc184645972"/>
      <w:r>
        <w:t>9.2</w:t>
      </w:r>
      <w:r>
        <w:tab/>
      </w:r>
      <w:r w:rsidR="009B153B">
        <w:t>F</w:t>
      </w:r>
      <w:r w:rsidR="009B153B" w:rsidRPr="003D571A">
        <w:t>unctional</w:t>
      </w:r>
      <w:r w:rsidR="009B153B">
        <w:t>/Detail</w:t>
      </w:r>
      <w:r w:rsidR="009B153B" w:rsidRPr="003D571A">
        <w:t xml:space="preserve"> design</w:t>
      </w:r>
      <w:bookmarkEnd w:id="52"/>
      <w:r w:rsidR="009B153B" w:rsidRPr="003D571A">
        <w:t xml:space="preserve"> </w:t>
      </w:r>
    </w:p>
    <w:p w14:paraId="7D135FE8" w14:textId="77777777" w:rsidR="009B153B" w:rsidRDefault="009B153B" w:rsidP="009B153B">
      <w:pPr>
        <w:spacing w:line="264" w:lineRule="auto"/>
      </w:pPr>
      <w:r>
        <w:t>All of the above and the following:</w:t>
      </w:r>
    </w:p>
    <w:p w14:paraId="6B5333DA" w14:textId="77777777" w:rsidR="009B153B" w:rsidRPr="003D571A" w:rsidRDefault="009B153B" w:rsidP="007845BD">
      <w:pPr>
        <w:pStyle w:val="ListNumber"/>
        <w:numPr>
          <w:ilvl w:val="0"/>
          <w:numId w:val="10"/>
        </w:numPr>
      </w:pPr>
      <w:r w:rsidRPr="003D571A">
        <w:t>A descrip</w:t>
      </w:r>
      <w:r>
        <w:t>tion of the updated MUSIC model</w:t>
      </w:r>
      <w:r w:rsidRPr="003D571A">
        <w:t xml:space="preserve">, including matching: </w:t>
      </w:r>
    </w:p>
    <w:p w14:paraId="71F913AD" w14:textId="77777777" w:rsidR="009B153B" w:rsidRPr="003D571A" w:rsidRDefault="009B153B" w:rsidP="00AA2B41">
      <w:pPr>
        <w:pStyle w:val="ListNumber2"/>
      </w:pPr>
      <w:r w:rsidRPr="003D571A">
        <w:t>the inlet pond volume in MUSIC to the sediment pond volume shown on plans (from halfway up the sediment accumulation zone)</w:t>
      </w:r>
      <w:r w:rsidR="00AA2B41">
        <w:t>.</w:t>
      </w:r>
      <w:r w:rsidRPr="003D571A">
        <w:t xml:space="preserve"> </w:t>
      </w:r>
    </w:p>
    <w:p w14:paraId="7B74B9D2" w14:textId="77777777" w:rsidR="009B153B" w:rsidRPr="003D571A" w:rsidRDefault="009B153B" w:rsidP="00AA2B41">
      <w:pPr>
        <w:pStyle w:val="ListNumber2"/>
      </w:pPr>
      <w:r w:rsidRPr="003D571A">
        <w:t>the permanent pool volume to the proposed bathymetry (using the user defined stage-storage relationship)</w:t>
      </w:r>
      <w:r w:rsidR="00AA2B41">
        <w:t>.</w:t>
      </w:r>
      <w:r w:rsidRPr="003D571A">
        <w:t xml:space="preserve"> </w:t>
      </w:r>
    </w:p>
    <w:p w14:paraId="4809B5BC" w14:textId="77777777" w:rsidR="009B153B" w:rsidRDefault="009B153B" w:rsidP="00AA2B41">
      <w:pPr>
        <w:pStyle w:val="ListNumber2"/>
      </w:pPr>
      <w:r w:rsidRPr="003D571A">
        <w:t>the high flow bypass configuration to the design</w:t>
      </w:r>
      <w:r w:rsidR="00AA2B41">
        <w:t>.</w:t>
      </w:r>
      <w:r w:rsidRPr="003D571A">
        <w:t xml:space="preserve"> </w:t>
      </w:r>
    </w:p>
    <w:p w14:paraId="378DBE4C" w14:textId="2BC8327C" w:rsidR="009B153B" w:rsidRDefault="009B153B" w:rsidP="00AA2B41">
      <w:pPr>
        <w:pStyle w:val="ListNumber2"/>
      </w:pPr>
      <w:r w:rsidRPr="003D571A">
        <w:t>the extended detention</w:t>
      </w:r>
      <w:r w:rsidR="00BF1E91">
        <w:t xml:space="preserve"> </w:t>
      </w:r>
      <w:r w:rsidRPr="003D571A">
        <w:t>controlled outlet configuration to the design (using the user defined stage-storage relationship)</w:t>
      </w:r>
      <w:r w:rsidR="00AA2B41">
        <w:t>.</w:t>
      </w:r>
      <w:r w:rsidRPr="003D571A">
        <w:t xml:space="preserve"> </w:t>
      </w:r>
    </w:p>
    <w:p w14:paraId="5C0F502E" w14:textId="24E8C637" w:rsidR="00BF1E91" w:rsidRPr="009F7837" w:rsidRDefault="00BF1E91" w:rsidP="00BF1E91">
      <w:pPr>
        <w:pStyle w:val="ListNumber2"/>
      </w:pPr>
      <w:r w:rsidRPr="009F7837">
        <w:t>Provide flux file in .csv.</w:t>
      </w:r>
    </w:p>
    <w:p w14:paraId="2C2BA6FC" w14:textId="1D8E573A" w:rsidR="00382098" w:rsidRPr="009F7837" w:rsidRDefault="00382098" w:rsidP="00382098">
      <w:pPr>
        <w:pStyle w:val="ListNumber2"/>
      </w:pPr>
      <w:r w:rsidRPr="009F7837">
        <w:t xml:space="preserve">Include the checklist from the </w:t>
      </w:r>
      <w:r w:rsidR="00BF1E91" w:rsidRPr="009F7837">
        <w:t xml:space="preserve">following </w:t>
      </w:r>
      <w:r w:rsidRPr="009F7837">
        <w:t>Table</w:t>
      </w:r>
      <w:r w:rsidR="009F7837" w:rsidRPr="009F7837">
        <w:t xml:space="preserve"> </w:t>
      </w:r>
      <w:r w:rsidR="00C865D0">
        <w:t>6</w:t>
      </w:r>
      <w:r w:rsidRPr="009F7837">
        <w:t xml:space="preserve"> and associated documents.</w:t>
      </w:r>
    </w:p>
    <w:p w14:paraId="2024EF51" w14:textId="77777777" w:rsidR="009F7837" w:rsidRDefault="009F7837" w:rsidP="009F7837">
      <w:pPr>
        <w:pStyle w:val="ListNumber2"/>
        <w:numPr>
          <w:ilvl w:val="0"/>
          <w:numId w:val="0"/>
        </w:numPr>
        <w:ind w:left="680"/>
        <w:rPr>
          <w:highlight w:val="yellow"/>
        </w:rPr>
      </w:pPr>
    </w:p>
    <w:p w14:paraId="77F5775C" w14:textId="6BAC4599" w:rsidR="009F7837" w:rsidRDefault="009F7837" w:rsidP="00C865D0">
      <w:pPr>
        <w:pStyle w:val="Caption"/>
        <w:jc w:val="center"/>
      </w:pPr>
      <w:bookmarkStart w:id="53" w:name="_Toc184646020"/>
      <w:r>
        <w:lastRenderedPageBreak/>
        <w:t xml:space="preserve">Table </w:t>
      </w:r>
      <w:r>
        <w:fldChar w:fldCharType="begin"/>
      </w:r>
      <w:r>
        <w:instrText xml:space="preserve"> SEQ Table \* ARABIC </w:instrText>
      </w:r>
      <w:r>
        <w:fldChar w:fldCharType="separate"/>
      </w:r>
      <w:r w:rsidR="00E228A6">
        <w:rPr>
          <w:noProof/>
        </w:rPr>
        <w:t>6</w:t>
      </w:r>
      <w:r>
        <w:rPr>
          <w:noProof/>
        </w:rPr>
        <w:fldChar w:fldCharType="end"/>
      </w:r>
      <w:r>
        <w:t xml:space="preserve">: </w:t>
      </w:r>
      <w:r w:rsidR="00C865D0">
        <w:t>Submission Requirements and Assessment Criteria</w:t>
      </w:r>
      <w:bookmarkEnd w:id="53"/>
    </w:p>
    <w:tbl>
      <w:tblPr>
        <w:tblStyle w:val="TableGrid"/>
        <w:tblW w:w="5000" w:type="pct"/>
        <w:tblLayout w:type="fixed"/>
        <w:tblLook w:val="0620" w:firstRow="1" w:lastRow="0" w:firstColumn="0" w:lastColumn="0" w:noHBand="1" w:noVBand="1"/>
      </w:tblPr>
      <w:tblGrid>
        <w:gridCol w:w="2182"/>
        <w:gridCol w:w="2183"/>
        <w:gridCol w:w="2183"/>
        <w:gridCol w:w="2183"/>
      </w:tblGrid>
      <w:tr w:rsidR="009F7837" w14:paraId="42A01079" w14:textId="77777777" w:rsidTr="009F7837">
        <w:trPr>
          <w:cnfStyle w:val="100000000000" w:firstRow="1" w:lastRow="0" w:firstColumn="0" w:lastColumn="0" w:oddVBand="0" w:evenVBand="0" w:oddHBand="0" w:evenHBand="0" w:firstRowFirstColumn="0" w:firstRowLastColumn="0" w:lastRowFirstColumn="0" w:lastRowLastColumn="0"/>
          <w:cantSplit/>
        </w:trPr>
        <w:tc>
          <w:tcPr>
            <w:tcW w:w="1250" w:type="pct"/>
          </w:tcPr>
          <w:p w14:paraId="402DE4B4" w14:textId="0B9D7C40" w:rsidR="009F7837" w:rsidRPr="009F7837" w:rsidRDefault="009F7837" w:rsidP="009F7837">
            <w:pPr>
              <w:pStyle w:val="TableText"/>
              <w:rPr>
                <w:color w:val="FFFFFF" w:themeColor="background1"/>
              </w:rPr>
            </w:pPr>
            <w:r w:rsidRPr="009F7837">
              <w:rPr>
                <w:rFonts w:ascii="Helvetica" w:hAnsi="Helvetica" w:cs="Helvetica"/>
                <w:bCs/>
                <w:color w:val="FFFFFF" w:themeColor="background1"/>
                <w:sz w:val="16"/>
                <w:szCs w:val="16"/>
              </w:rPr>
              <w:t xml:space="preserve">Submission </w:t>
            </w:r>
            <w:r>
              <w:rPr>
                <w:rFonts w:ascii="Helvetica" w:hAnsi="Helvetica" w:cs="Helvetica"/>
                <w:bCs/>
                <w:color w:val="FFFFFF" w:themeColor="background1"/>
                <w:sz w:val="16"/>
                <w:szCs w:val="16"/>
              </w:rPr>
              <w:t>R</w:t>
            </w:r>
            <w:r w:rsidRPr="009F7837">
              <w:rPr>
                <w:rFonts w:ascii="Helvetica" w:hAnsi="Helvetica" w:cs="Helvetica"/>
                <w:bCs/>
                <w:color w:val="FFFFFF" w:themeColor="background1"/>
                <w:sz w:val="16"/>
                <w:szCs w:val="16"/>
              </w:rPr>
              <w:t>equirement</w:t>
            </w:r>
          </w:p>
        </w:tc>
        <w:tc>
          <w:tcPr>
            <w:tcW w:w="1250" w:type="pct"/>
          </w:tcPr>
          <w:p w14:paraId="3BABAA74" w14:textId="3168393D" w:rsidR="009F7837" w:rsidRPr="009F7837" w:rsidRDefault="009F7837" w:rsidP="009F7837">
            <w:pPr>
              <w:pStyle w:val="TableText"/>
              <w:rPr>
                <w:color w:val="FFFFFF" w:themeColor="background1"/>
              </w:rPr>
            </w:pPr>
            <w:r w:rsidRPr="009F7837">
              <w:rPr>
                <w:rFonts w:ascii="Helvetica" w:hAnsi="Helvetica" w:cs="Helvetica"/>
                <w:bCs/>
                <w:color w:val="FFFFFF" w:themeColor="background1"/>
                <w:sz w:val="16"/>
                <w:szCs w:val="16"/>
              </w:rPr>
              <w:t>Assessment</w:t>
            </w:r>
          </w:p>
        </w:tc>
        <w:tc>
          <w:tcPr>
            <w:tcW w:w="1250" w:type="pct"/>
          </w:tcPr>
          <w:p w14:paraId="43B6EE8B" w14:textId="0668A464" w:rsidR="009F7837" w:rsidRPr="009F7837" w:rsidRDefault="009F7837" w:rsidP="009F7837">
            <w:pPr>
              <w:pStyle w:val="TableText"/>
              <w:rPr>
                <w:color w:val="FFFFFF" w:themeColor="background1"/>
              </w:rPr>
            </w:pPr>
            <w:r w:rsidRPr="009F7837">
              <w:rPr>
                <w:rFonts w:ascii="Helvetica" w:hAnsi="Helvetica" w:cs="Helvetica"/>
                <w:bCs/>
                <w:color w:val="FFFFFF" w:themeColor="background1"/>
                <w:sz w:val="16"/>
                <w:szCs w:val="16"/>
              </w:rPr>
              <w:t xml:space="preserve">Check  </w:t>
            </w:r>
          </w:p>
        </w:tc>
        <w:tc>
          <w:tcPr>
            <w:tcW w:w="1250" w:type="pct"/>
          </w:tcPr>
          <w:p w14:paraId="5BEA327F" w14:textId="777751E3" w:rsidR="009F7837" w:rsidRPr="009F7837" w:rsidRDefault="009F7837" w:rsidP="009F7837">
            <w:pPr>
              <w:pStyle w:val="TableText"/>
              <w:rPr>
                <w:color w:val="FFFFFF" w:themeColor="background1"/>
              </w:rPr>
            </w:pPr>
            <w:r w:rsidRPr="009F7837">
              <w:rPr>
                <w:rFonts w:ascii="Helvetica" w:hAnsi="Helvetica" w:cs="Helvetica"/>
                <w:bCs/>
                <w:color w:val="FFFFFF" w:themeColor="background1"/>
                <w:sz w:val="16"/>
                <w:szCs w:val="16"/>
              </w:rPr>
              <w:t>Comments</w:t>
            </w:r>
          </w:p>
        </w:tc>
      </w:tr>
      <w:tr w:rsidR="009F7837" w14:paraId="2A3651D7" w14:textId="77777777" w:rsidTr="009F7837">
        <w:trPr>
          <w:cantSplit/>
        </w:trPr>
        <w:tc>
          <w:tcPr>
            <w:tcW w:w="1250" w:type="pct"/>
          </w:tcPr>
          <w:p w14:paraId="11A4BFBC" w14:textId="33D8D4E0" w:rsidR="009F7837" w:rsidRPr="009F7837" w:rsidRDefault="009F7837" w:rsidP="009F7837">
            <w:pPr>
              <w:pStyle w:val="TableText"/>
              <w:rPr>
                <w:color w:val="FFFFFF" w:themeColor="background1"/>
              </w:rPr>
            </w:pPr>
            <w:r w:rsidRPr="00567378">
              <w:rPr>
                <w:rFonts w:ascii="Helvetica" w:hAnsi="Helvetica" w:cs="Helvetica"/>
                <w:color w:val="221E1F"/>
                <w:sz w:val="16"/>
                <w:szCs w:val="16"/>
              </w:rPr>
              <w:t>Screenshot of output from earthworks modelling software of stage-storage relationship</w:t>
            </w:r>
          </w:p>
        </w:tc>
        <w:tc>
          <w:tcPr>
            <w:tcW w:w="1250" w:type="pct"/>
          </w:tcPr>
          <w:p w14:paraId="785C5799" w14:textId="206B5F55" w:rsidR="009F7837" w:rsidRPr="009F7837" w:rsidRDefault="009F7837" w:rsidP="009F7837">
            <w:pPr>
              <w:pStyle w:val="TableText"/>
              <w:rPr>
                <w:color w:val="FFFFFF" w:themeColor="background1"/>
              </w:rPr>
            </w:pPr>
            <w:r w:rsidRPr="00567378">
              <w:rPr>
                <w:rFonts w:ascii="Helvetica" w:hAnsi="Helvetica" w:cs="Helvetica"/>
                <w:color w:val="221E1F"/>
                <w:sz w:val="16"/>
                <w:szCs w:val="16"/>
              </w:rPr>
              <w:t>No vertical, horizontal or negative slopes in the stage storage relationship (for example: same stage with multiple storage or same storage at multiple stages)</w:t>
            </w:r>
          </w:p>
        </w:tc>
        <w:tc>
          <w:tcPr>
            <w:tcW w:w="1250" w:type="pct"/>
          </w:tcPr>
          <w:p w14:paraId="099993A7" w14:textId="4908C5FB" w:rsidR="009F7837" w:rsidRPr="009F7837" w:rsidRDefault="009F7837" w:rsidP="009F7837">
            <w:pPr>
              <w:pStyle w:val="TableText"/>
              <w:rPr>
                <w:color w:val="FFFFFF" w:themeColor="background1"/>
              </w:rPr>
            </w:pPr>
            <w:r>
              <w:rPr>
                <w:rFonts w:ascii="MS Gothic" w:eastAsia="MS Gothic" w:hAnsi="MS Gothic" w:hint="eastAsia"/>
                <w:b/>
                <w:sz w:val="36"/>
                <w:szCs w:val="36"/>
              </w:rPr>
              <w:t>☐</w:t>
            </w:r>
          </w:p>
        </w:tc>
        <w:tc>
          <w:tcPr>
            <w:tcW w:w="1250" w:type="pct"/>
          </w:tcPr>
          <w:p w14:paraId="63C225F0" w14:textId="77777777" w:rsidR="009F7837" w:rsidRPr="009F7837" w:rsidRDefault="009F7837" w:rsidP="009F7837">
            <w:pPr>
              <w:pStyle w:val="TableText"/>
              <w:rPr>
                <w:color w:val="FFFFFF" w:themeColor="background1"/>
              </w:rPr>
            </w:pPr>
          </w:p>
        </w:tc>
      </w:tr>
      <w:tr w:rsidR="009F7837" w14:paraId="1FD72AF6" w14:textId="77777777" w:rsidTr="009F7837">
        <w:trPr>
          <w:cantSplit/>
        </w:trPr>
        <w:tc>
          <w:tcPr>
            <w:tcW w:w="1250" w:type="pct"/>
          </w:tcPr>
          <w:p w14:paraId="00EE5CEE" w14:textId="77777777" w:rsidR="009F7837" w:rsidRDefault="009F7837" w:rsidP="009F7837">
            <w:pPr>
              <w:pStyle w:val="TableText"/>
            </w:pPr>
          </w:p>
        </w:tc>
        <w:tc>
          <w:tcPr>
            <w:tcW w:w="1250" w:type="pct"/>
          </w:tcPr>
          <w:p w14:paraId="536FD64D" w14:textId="5603C93C" w:rsidR="009F7837" w:rsidRDefault="009F7837" w:rsidP="009F7837">
            <w:pPr>
              <w:pStyle w:val="TableText"/>
            </w:pPr>
            <w:r w:rsidRPr="00567378">
              <w:rPr>
                <w:rFonts w:ascii="Helvetica" w:hAnsi="Helvetica" w:cs="Helvetica"/>
                <w:color w:val="221E1F"/>
                <w:sz w:val="16"/>
                <w:szCs w:val="16"/>
              </w:rPr>
              <w:t>Consistency with stage-storage table from MUSIC</w:t>
            </w:r>
          </w:p>
        </w:tc>
        <w:tc>
          <w:tcPr>
            <w:tcW w:w="1250" w:type="pct"/>
          </w:tcPr>
          <w:p w14:paraId="047D1887" w14:textId="2061A61A" w:rsidR="009F7837" w:rsidRDefault="009F7837" w:rsidP="009F7837">
            <w:pPr>
              <w:pStyle w:val="TableText"/>
            </w:pPr>
            <w:r>
              <w:rPr>
                <w:rFonts w:ascii="MS Gothic" w:eastAsia="MS Gothic" w:hAnsi="MS Gothic" w:hint="eastAsia"/>
                <w:b/>
                <w:sz w:val="36"/>
                <w:szCs w:val="36"/>
              </w:rPr>
              <w:t>☐</w:t>
            </w:r>
          </w:p>
        </w:tc>
        <w:tc>
          <w:tcPr>
            <w:tcW w:w="1250" w:type="pct"/>
          </w:tcPr>
          <w:p w14:paraId="4E2295BC" w14:textId="77777777" w:rsidR="009F7837" w:rsidRDefault="009F7837" w:rsidP="009F7837">
            <w:pPr>
              <w:pStyle w:val="TableText"/>
            </w:pPr>
          </w:p>
        </w:tc>
      </w:tr>
      <w:tr w:rsidR="009F7837" w14:paraId="417238A3" w14:textId="77777777" w:rsidTr="009F7837">
        <w:trPr>
          <w:cantSplit/>
        </w:trPr>
        <w:tc>
          <w:tcPr>
            <w:tcW w:w="1250" w:type="pct"/>
          </w:tcPr>
          <w:p w14:paraId="1C97D4CB" w14:textId="77777777" w:rsidR="009F7837" w:rsidRDefault="009F7837" w:rsidP="009F7837">
            <w:pPr>
              <w:pStyle w:val="TableText"/>
            </w:pPr>
          </w:p>
        </w:tc>
        <w:tc>
          <w:tcPr>
            <w:tcW w:w="1250" w:type="pct"/>
          </w:tcPr>
          <w:p w14:paraId="07CB36C8" w14:textId="7EF6E15F" w:rsidR="009F7837" w:rsidRDefault="009F7837" w:rsidP="009F7837">
            <w:pPr>
              <w:pStyle w:val="TableText"/>
            </w:pPr>
            <w:r w:rsidRPr="00567378">
              <w:rPr>
                <w:rFonts w:ascii="Helvetica" w:hAnsi="Helvetica" w:cs="Helvetica"/>
                <w:color w:val="221E1F"/>
                <w:sz w:val="16"/>
                <w:szCs w:val="16"/>
              </w:rPr>
              <w:t>Values are provided for EDD plus 2.0 metres in stage storage discharge relationships</w:t>
            </w:r>
          </w:p>
        </w:tc>
        <w:tc>
          <w:tcPr>
            <w:tcW w:w="1250" w:type="pct"/>
          </w:tcPr>
          <w:p w14:paraId="1A0151A1" w14:textId="269D7F57" w:rsidR="009F7837" w:rsidRDefault="009F7837" w:rsidP="009F7837">
            <w:pPr>
              <w:pStyle w:val="TableText"/>
            </w:pPr>
            <w:r>
              <w:rPr>
                <w:rFonts w:ascii="MS Gothic" w:eastAsia="MS Gothic" w:hAnsi="MS Gothic" w:hint="eastAsia"/>
                <w:b/>
                <w:sz w:val="36"/>
                <w:szCs w:val="36"/>
              </w:rPr>
              <w:t>☐</w:t>
            </w:r>
          </w:p>
        </w:tc>
        <w:tc>
          <w:tcPr>
            <w:tcW w:w="1250" w:type="pct"/>
          </w:tcPr>
          <w:p w14:paraId="3FA53F17" w14:textId="77777777" w:rsidR="009F7837" w:rsidRDefault="009F7837" w:rsidP="009F7837">
            <w:pPr>
              <w:pStyle w:val="TableText"/>
            </w:pPr>
          </w:p>
        </w:tc>
      </w:tr>
      <w:tr w:rsidR="009F7837" w14:paraId="37110C3F" w14:textId="77777777" w:rsidTr="009F7837">
        <w:trPr>
          <w:cantSplit/>
        </w:trPr>
        <w:tc>
          <w:tcPr>
            <w:tcW w:w="1250" w:type="pct"/>
          </w:tcPr>
          <w:p w14:paraId="55F3928A" w14:textId="4F117405" w:rsidR="009F7837" w:rsidRDefault="009F7837" w:rsidP="009F7837">
            <w:pPr>
              <w:pStyle w:val="TableText"/>
            </w:pPr>
            <w:r w:rsidRPr="00567378">
              <w:rPr>
                <w:rFonts w:ascii="Helvetica" w:hAnsi="Helvetica" w:cs="Helvetica"/>
                <w:color w:val="221E1F"/>
                <w:sz w:val="16"/>
                <w:szCs w:val="16"/>
              </w:rPr>
              <w:t>MUSIC model with defined stage storage discharge relationships</w:t>
            </w:r>
          </w:p>
        </w:tc>
        <w:tc>
          <w:tcPr>
            <w:tcW w:w="1250" w:type="pct"/>
          </w:tcPr>
          <w:p w14:paraId="7C49A35A" w14:textId="6B9CD1F5" w:rsidR="009F7837" w:rsidRDefault="009F7837" w:rsidP="009F7837">
            <w:pPr>
              <w:pStyle w:val="TableText"/>
            </w:pPr>
            <w:r w:rsidRPr="00567378">
              <w:rPr>
                <w:rFonts w:ascii="Helvetica" w:hAnsi="Helvetica" w:cs="Helvetica"/>
                <w:color w:val="221E1F"/>
                <w:sz w:val="16"/>
                <w:szCs w:val="16"/>
              </w:rPr>
              <w:t>(Weir) overflow is zero up to EDD, then increases at an increasing rate</w:t>
            </w:r>
          </w:p>
        </w:tc>
        <w:tc>
          <w:tcPr>
            <w:tcW w:w="1250" w:type="pct"/>
          </w:tcPr>
          <w:p w14:paraId="300CB120" w14:textId="387A86CA" w:rsidR="009F7837" w:rsidRDefault="009F7837" w:rsidP="009F7837">
            <w:pPr>
              <w:pStyle w:val="TableText"/>
            </w:pPr>
            <w:r>
              <w:rPr>
                <w:rFonts w:ascii="MS Gothic" w:eastAsia="MS Gothic" w:hAnsi="MS Gothic" w:hint="eastAsia"/>
                <w:b/>
                <w:sz w:val="36"/>
                <w:szCs w:val="36"/>
              </w:rPr>
              <w:t>☐</w:t>
            </w:r>
          </w:p>
        </w:tc>
        <w:tc>
          <w:tcPr>
            <w:tcW w:w="1250" w:type="pct"/>
          </w:tcPr>
          <w:p w14:paraId="71F3F529" w14:textId="77777777" w:rsidR="009F7837" w:rsidRDefault="009F7837" w:rsidP="009F7837">
            <w:pPr>
              <w:pStyle w:val="TableText"/>
            </w:pPr>
          </w:p>
        </w:tc>
      </w:tr>
      <w:tr w:rsidR="009F7837" w14:paraId="29A61A2B" w14:textId="77777777" w:rsidTr="009F7837">
        <w:trPr>
          <w:cantSplit/>
        </w:trPr>
        <w:tc>
          <w:tcPr>
            <w:tcW w:w="1250" w:type="pct"/>
          </w:tcPr>
          <w:p w14:paraId="240FAB86" w14:textId="77777777" w:rsidR="009F7837" w:rsidRDefault="009F7837" w:rsidP="009F7837">
            <w:pPr>
              <w:pStyle w:val="TableText"/>
            </w:pPr>
          </w:p>
        </w:tc>
        <w:tc>
          <w:tcPr>
            <w:tcW w:w="1250" w:type="pct"/>
          </w:tcPr>
          <w:p w14:paraId="0833F6F8" w14:textId="10CC963A" w:rsidR="009F7837" w:rsidRDefault="009F7837" w:rsidP="009F7837">
            <w:pPr>
              <w:pStyle w:val="TableText"/>
            </w:pPr>
            <w:r w:rsidRPr="00567378">
              <w:rPr>
                <w:rFonts w:ascii="Helvetica" w:hAnsi="Helvetica" w:cs="Helvetica"/>
                <w:color w:val="221E1F"/>
                <w:sz w:val="16"/>
                <w:szCs w:val="16"/>
              </w:rPr>
              <w:t>(Pipe) outflow increases from NWL upwards.</w:t>
            </w:r>
          </w:p>
        </w:tc>
        <w:tc>
          <w:tcPr>
            <w:tcW w:w="1250" w:type="pct"/>
          </w:tcPr>
          <w:p w14:paraId="4C963FEA" w14:textId="58EFF1A0" w:rsidR="009F7837" w:rsidRDefault="009F7837" w:rsidP="009F7837">
            <w:pPr>
              <w:pStyle w:val="TableText"/>
            </w:pPr>
            <w:r>
              <w:rPr>
                <w:rFonts w:ascii="MS Gothic" w:eastAsia="MS Gothic" w:hAnsi="MS Gothic" w:hint="eastAsia"/>
                <w:b/>
                <w:sz w:val="36"/>
                <w:szCs w:val="36"/>
              </w:rPr>
              <w:t>☐</w:t>
            </w:r>
          </w:p>
        </w:tc>
        <w:tc>
          <w:tcPr>
            <w:tcW w:w="1250" w:type="pct"/>
          </w:tcPr>
          <w:p w14:paraId="3B1EDA36" w14:textId="77777777" w:rsidR="009F7837" w:rsidRDefault="009F7837" w:rsidP="009F7837">
            <w:pPr>
              <w:pStyle w:val="TableText"/>
            </w:pPr>
          </w:p>
        </w:tc>
      </w:tr>
      <w:tr w:rsidR="009F7837" w14:paraId="2B324BED" w14:textId="77777777" w:rsidTr="009F7837">
        <w:trPr>
          <w:cantSplit/>
        </w:trPr>
        <w:tc>
          <w:tcPr>
            <w:tcW w:w="1250" w:type="pct"/>
          </w:tcPr>
          <w:p w14:paraId="6446A136" w14:textId="77777777" w:rsidR="009F7837" w:rsidRDefault="009F7837" w:rsidP="009F7837">
            <w:pPr>
              <w:pStyle w:val="TableText"/>
            </w:pPr>
          </w:p>
        </w:tc>
        <w:tc>
          <w:tcPr>
            <w:tcW w:w="1250" w:type="pct"/>
          </w:tcPr>
          <w:p w14:paraId="04A37A4C" w14:textId="4727039D" w:rsidR="009F7837" w:rsidRDefault="009F7837" w:rsidP="009F7837">
            <w:pPr>
              <w:pStyle w:val="TableText"/>
            </w:pPr>
            <w:r w:rsidRPr="00567378">
              <w:rPr>
                <w:rFonts w:ascii="Helvetica" w:hAnsi="Helvetica" w:cs="Helvetica"/>
                <w:color w:val="221E1F"/>
                <w:sz w:val="16"/>
                <w:szCs w:val="16"/>
              </w:rPr>
              <w:t>No negative slopes in the specified relationships</w:t>
            </w:r>
          </w:p>
        </w:tc>
        <w:tc>
          <w:tcPr>
            <w:tcW w:w="1250" w:type="pct"/>
          </w:tcPr>
          <w:p w14:paraId="0E977BBF" w14:textId="3C8BB687" w:rsidR="009F7837" w:rsidRDefault="009F7837" w:rsidP="009F7837">
            <w:pPr>
              <w:pStyle w:val="TableText"/>
            </w:pPr>
            <w:r>
              <w:rPr>
                <w:rFonts w:ascii="MS Gothic" w:eastAsia="MS Gothic" w:hAnsi="MS Gothic" w:hint="eastAsia"/>
                <w:b/>
                <w:sz w:val="36"/>
                <w:szCs w:val="36"/>
              </w:rPr>
              <w:t>☐</w:t>
            </w:r>
          </w:p>
        </w:tc>
        <w:tc>
          <w:tcPr>
            <w:tcW w:w="1250" w:type="pct"/>
          </w:tcPr>
          <w:p w14:paraId="64730276" w14:textId="77777777" w:rsidR="009F7837" w:rsidRDefault="009F7837" w:rsidP="009F7837">
            <w:pPr>
              <w:pStyle w:val="TableText"/>
            </w:pPr>
          </w:p>
        </w:tc>
      </w:tr>
      <w:tr w:rsidR="009F7837" w14:paraId="5908C836" w14:textId="77777777" w:rsidTr="009F7837">
        <w:trPr>
          <w:cantSplit/>
        </w:trPr>
        <w:tc>
          <w:tcPr>
            <w:tcW w:w="1250" w:type="pct"/>
          </w:tcPr>
          <w:p w14:paraId="43977B85" w14:textId="77777777" w:rsidR="009F7837" w:rsidRDefault="009F7837" w:rsidP="009F7837">
            <w:pPr>
              <w:pStyle w:val="TableText"/>
            </w:pPr>
          </w:p>
        </w:tc>
        <w:tc>
          <w:tcPr>
            <w:tcW w:w="1250" w:type="pct"/>
          </w:tcPr>
          <w:p w14:paraId="256A6E8A" w14:textId="45669F15" w:rsidR="009F7837" w:rsidRDefault="009F7837" w:rsidP="009F7837">
            <w:pPr>
              <w:pStyle w:val="TableText"/>
            </w:pPr>
            <w:r w:rsidRPr="00567378">
              <w:rPr>
                <w:rFonts w:ascii="Helvetica" w:hAnsi="Helvetica" w:cs="Helvetica"/>
                <w:color w:val="221E1F"/>
                <w:sz w:val="16"/>
                <w:szCs w:val="16"/>
              </w:rPr>
              <w:t>The sum of (pipe) outflow and (weir) overflow curves produces unique values for each stage.</w:t>
            </w:r>
          </w:p>
        </w:tc>
        <w:tc>
          <w:tcPr>
            <w:tcW w:w="1250" w:type="pct"/>
          </w:tcPr>
          <w:p w14:paraId="7F1F7A12" w14:textId="37B51A9F" w:rsidR="009F7837" w:rsidRDefault="009F7837" w:rsidP="009F7837">
            <w:pPr>
              <w:pStyle w:val="TableText"/>
            </w:pPr>
            <w:r>
              <w:rPr>
                <w:rFonts w:ascii="MS Gothic" w:eastAsia="MS Gothic" w:hAnsi="MS Gothic" w:hint="eastAsia"/>
                <w:b/>
                <w:sz w:val="36"/>
                <w:szCs w:val="36"/>
              </w:rPr>
              <w:t>☐</w:t>
            </w:r>
          </w:p>
        </w:tc>
        <w:tc>
          <w:tcPr>
            <w:tcW w:w="1250" w:type="pct"/>
          </w:tcPr>
          <w:p w14:paraId="759B11DA" w14:textId="77777777" w:rsidR="009F7837" w:rsidRDefault="009F7837" w:rsidP="009F7837">
            <w:pPr>
              <w:pStyle w:val="TableText"/>
            </w:pPr>
          </w:p>
        </w:tc>
      </w:tr>
      <w:tr w:rsidR="009F7837" w14:paraId="35239703" w14:textId="77777777" w:rsidTr="009F7837">
        <w:trPr>
          <w:cantSplit/>
        </w:trPr>
        <w:tc>
          <w:tcPr>
            <w:tcW w:w="1250" w:type="pct"/>
          </w:tcPr>
          <w:p w14:paraId="40F5AEBC" w14:textId="30DE115B" w:rsidR="009F7837" w:rsidRDefault="009F7837" w:rsidP="009F7837">
            <w:pPr>
              <w:pStyle w:val="TableText"/>
            </w:pPr>
            <w:r w:rsidRPr="00567378">
              <w:rPr>
                <w:rFonts w:ascii="Helvetica" w:hAnsi="Helvetica" w:cs="Helvetica"/>
                <w:color w:val="221E1F"/>
                <w:sz w:val="16"/>
                <w:szCs w:val="16"/>
              </w:rPr>
              <w:t>Areas and volume at NWL and EDD</w:t>
            </w:r>
          </w:p>
        </w:tc>
        <w:tc>
          <w:tcPr>
            <w:tcW w:w="1250" w:type="pct"/>
          </w:tcPr>
          <w:p w14:paraId="2C3D4A73" w14:textId="524C919F" w:rsidR="009F7837" w:rsidRDefault="009F7837" w:rsidP="009F7837">
            <w:pPr>
              <w:pStyle w:val="TableText"/>
            </w:pPr>
            <w:r w:rsidRPr="00567378">
              <w:rPr>
                <w:rFonts w:ascii="Helvetica" w:hAnsi="Helvetica" w:cs="Helvetica"/>
                <w:color w:val="221E1F"/>
                <w:sz w:val="16"/>
                <w:szCs w:val="16"/>
              </w:rPr>
              <w:t>Design treatment area and volume are consistent with the stage-discharge relationship and proposed asset design</w:t>
            </w:r>
          </w:p>
        </w:tc>
        <w:tc>
          <w:tcPr>
            <w:tcW w:w="1250" w:type="pct"/>
          </w:tcPr>
          <w:p w14:paraId="465DE3AF" w14:textId="73449DF8" w:rsidR="009F7837" w:rsidRDefault="009F7837" w:rsidP="009F7837">
            <w:pPr>
              <w:pStyle w:val="TableText"/>
            </w:pPr>
            <w:r>
              <w:rPr>
                <w:rFonts w:ascii="MS Gothic" w:eastAsia="MS Gothic" w:hAnsi="MS Gothic" w:hint="eastAsia"/>
                <w:b/>
                <w:sz w:val="36"/>
                <w:szCs w:val="36"/>
              </w:rPr>
              <w:t>☐</w:t>
            </w:r>
          </w:p>
        </w:tc>
        <w:tc>
          <w:tcPr>
            <w:tcW w:w="1250" w:type="pct"/>
          </w:tcPr>
          <w:p w14:paraId="1AF49C79" w14:textId="77777777" w:rsidR="009F7837" w:rsidRDefault="009F7837" w:rsidP="009F7837">
            <w:pPr>
              <w:pStyle w:val="TableText"/>
            </w:pPr>
          </w:p>
        </w:tc>
      </w:tr>
      <w:tr w:rsidR="009F7837" w14:paraId="3DC591D2" w14:textId="77777777" w:rsidTr="009F7837">
        <w:trPr>
          <w:cantSplit/>
        </w:trPr>
        <w:tc>
          <w:tcPr>
            <w:tcW w:w="1250" w:type="pct"/>
          </w:tcPr>
          <w:p w14:paraId="31652BC0" w14:textId="77777777" w:rsidR="009F7837" w:rsidRDefault="009F7837" w:rsidP="009F7837">
            <w:pPr>
              <w:pStyle w:val="TableText"/>
            </w:pPr>
          </w:p>
        </w:tc>
        <w:tc>
          <w:tcPr>
            <w:tcW w:w="1250" w:type="pct"/>
          </w:tcPr>
          <w:p w14:paraId="114C408A" w14:textId="3CF0BBE3" w:rsidR="009F7837" w:rsidRDefault="009F7837" w:rsidP="009F7837">
            <w:pPr>
              <w:pStyle w:val="TableText"/>
            </w:pPr>
            <w:r w:rsidRPr="00567378">
              <w:rPr>
                <w:rFonts w:ascii="Helvetica" w:hAnsi="Helvetica" w:cs="Helvetica"/>
                <w:color w:val="221E1F"/>
                <w:sz w:val="16"/>
                <w:szCs w:val="16"/>
              </w:rPr>
              <w:t>Reconcile adopted stage-storage relationship with area and volume reported at NWL and EDD</w:t>
            </w:r>
          </w:p>
        </w:tc>
        <w:tc>
          <w:tcPr>
            <w:tcW w:w="1250" w:type="pct"/>
          </w:tcPr>
          <w:p w14:paraId="3554B52A" w14:textId="5E8C7954" w:rsidR="009F7837" w:rsidRDefault="009F7837" w:rsidP="009F7837">
            <w:pPr>
              <w:pStyle w:val="TableText"/>
            </w:pPr>
            <w:r>
              <w:rPr>
                <w:rFonts w:ascii="MS Gothic" w:eastAsia="MS Gothic" w:hAnsi="MS Gothic" w:hint="eastAsia"/>
                <w:b/>
                <w:sz w:val="36"/>
                <w:szCs w:val="36"/>
              </w:rPr>
              <w:t>☐</w:t>
            </w:r>
          </w:p>
        </w:tc>
        <w:tc>
          <w:tcPr>
            <w:tcW w:w="1250" w:type="pct"/>
          </w:tcPr>
          <w:p w14:paraId="0DB6ED98" w14:textId="77777777" w:rsidR="009F7837" w:rsidRDefault="009F7837" w:rsidP="009F7837">
            <w:pPr>
              <w:pStyle w:val="TableText"/>
            </w:pPr>
          </w:p>
        </w:tc>
      </w:tr>
      <w:tr w:rsidR="009F7837" w14:paraId="28BBE022" w14:textId="77777777" w:rsidTr="009F7837">
        <w:trPr>
          <w:cantSplit/>
        </w:trPr>
        <w:tc>
          <w:tcPr>
            <w:tcW w:w="1250" w:type="pct"/>
          </w:tcPr>
          <w:p w14:paraId="5F780891" w14:textId="0575F9EC" w:rsidR="009F7837" w:rsidRDefault="009F7837" w:rsidP="009F7837">
            <w:pPr>
              <w:pStyle w:val="TableText"/>
            </w:pPr>
            <w:r w:rsidRPr="00567378">
              <w:rPr>
                <w:rFonts w:ascii="Helvetica" w:hAnsi="Helvetica" w:cs="Helvetica"/>
                <w:color w:val="221E1F"/>
                <w:sz w:val="16"/>
                <w:szCs w:val="16"/>
              </w:rPr>
              <w:t>Calculations used for stage-discharge relationship for both wetland outflows and overflows</w:t>
            </w:r>
          </w:p>
        </w:tc>
        <w:tc>
          <w:tcPr>
            <w:tcW w:w="1250" w:type="pct"/>
          </w:tcPr>
          <w:p w14:paraId="1AED965E" w14:textId="1A017953" w:rsidR="009F7837" w:rsidRDefault="009F7837" w:rsidP="009F7837">
            <w:pPr>
              <w:pStyle w:val="TableText"/>
            </w:pPr>
            <w:r w:rsidRPr="00567378">
              <w:rPr>
                <w:rFonts w:ascii="Helvetica" w:hAnsi="Helvetica" w:cs="Helvetica"/>
                <w:color w:val="221E1F"/>
                <w:sz w:val="16"/>
                <w:szCs w:val="16"/>
              </w:rPr>
              <w:t>Reconcile stage-discharge relationship in MUSIC for (pipe) outflow and (weir) overflow with provided calculated values</w:t>
            </w:r>
          </w:p>
        </w:tc>
        <w:tc>
          <w:tcPr>
            <w:tcW w:w="1250" w:type="pct"/>
          </w:tcPr>
          <w:p w14:paraId="27AE5902" w14:textId="584D8120" w:rsidR="009F7837" w:rsidRDefault="009F7837" w:rsidP="009F7837">
            <w:pPr>
              <w:pStyle w:val="TableText"/>
            </w:pPr>
            <w:r>
              <w:rPr>
                <w:rFonts w:ascii="MS Gothic" w:eastAsia="MS Gothic" w:hAnsi="MS Gothic" w:hint="eastAsia"/>
                <w:b/>
                <w:sz w:val="36"/>
                <w:szCs w:val="36"/>
              </w:rPr>
              <w:t>☐</w:t>
            </w:r>
          </w:p>
        </w:tc>
        <w:tc>
          <w:tcPr>
            <w:tcW w:w="1250" w:type="pct"/>
          </w:tcPr>
          <w:p w14:paraId="669978CB" w14:textId="77777777" w:rsidR="009F7837" w:rsidRDefault="009F7837" w:rsidP="009F7837">
            <w:pPr>
              <w:pStyle w:val="TableText"/>
            </w:pPr>
          </w:p>
        </w:tc>
      </w:tr>
      <w:tr w:rsidR="009F7837" w14:paraId="598B23B1" w14:textId="77777777" w:rsidTr="009F7837">
        <w:trPr>
          <w:cantSplit/>
        </w:trPr>
        <w:tc>
          <w:tcPr>
            <w:tcW w:w="1250" w:type="pct"/>
          </w:tcPr>
          <w:p w14:paraId="4A9250C4" w14:textId="77777777" w:rsidR="009F7837" w:rsidRDefault="009F7837" w:rsidP="009F7837">
            <w:pPr>
              <w:pStyle w:val="TableText"/>
            </w:pPr>
          </w:p>
        </w:tc>
        <w:tc>
          <w:tcPr>
            <w:tcW w:w="1250" w:type="pct"/>
          </w:tcPr>
          <w:p w14:paraId="6A3155ED" w14:textId="7A17A613" w:rsidR="009F7837" w:rsidRDefault="009F7837" w:rsidP="009F7837">
            <w:pPr>
              <w:pStyle w:val="TableText"/>
            </w:pPr>
            <w:r w:rsidRPr="00567378">
              <w:rPr>
                <w:rFonts w:ascii="Helvetica" w:hAnsi="Helvetica" w:cs="Helvetica"/>
                <w:color w:val="221E1F"/>
                <w:sz w:val="16"/>
                <w:szCs w:val="16"/>
              </w:rPr>
              <w:t>Check (weir) overflows engage at the expected EDD level</w:t>
            </w:r>
          </w:p>
        </w:tc>
        <w:tc>
          <w:tcPr>
            <w:tcW w:w="1250" w:type="pct"/>
          </w:tcPr>
          <w:p w14:paraId="01BA666E" w14:textId="0DB8A2B5" w:rsidR="009F7837" w:rsidRDefault="009F7837" w:rsidP="009F7837">
            <w:pPr>
              <w:pStyle w:val="TableText"/>
            </w:pPr>
            <w:r>
              <w:rPr>
                <w:rFonts w:ascii="MS Gothic" w:eastAsia="MS Gothic" w:hAnsi="MS Gothic" w:hint="eastAsia"/>
                <w:b/>
                <w:sz w:val="36"/>
                <w:szCs w:val="36"/>
              </w:rPr>
              <w:t>☐</w:t>
            </w:r>
          </w:p>
        </w:tc>
        <w:tc>
          <w:tcPr>
            <w:tcW w:w="1250" w:type="pct"/>
          </w:tcPr>
          <w:p w14:paraId="66F82AB4" w14:textId="77777777" w:rsidR="009F7837" w:rsidRDefault="009F7837" w:rsidP="009F7837">
            <w:pPr>
              <w:pStyle w:val="TableText"/>
            </w:pPr>
          </w:p>
        </w:tc>
      </w:tr>
      <w:tr w:rsidR="009F7837" w14:paraId="57CAA7D9" w14:textId="77777777" w:rsidTr="009F7837">
        <w:trPr>
          <w:cantSplit/>
        </w:trPr>
        <w:tc>
          <w:tcPr>
            <w:tcW w:w="1250" w:type="pct"/>
          </w:tcPr>
          <w:p w14:paraId="49E52826" w14:textId="77777777" w:rsidR="009F7837" w:rsidRDefault="009F7837" w:rsidP="009F7837">
            <w:pPr>
              <w:pStyle w:val="TableText"/>
            </w:pPr>
          </w:p>
        </w:tc>
        <w:tc>
          <w:tcPr>
            <w:tcW w:w="1250" w:type="pct"/>
          </w:tcPr>
          <w:p w14:paraId="77421464" w14:textId="7641E750" w:rsidR="009F7837" w:rsidRDefault="009F7837" w:rsidP="009F7837">
            <w:pPr>
              <w:pStyle w:val="TableText"/>
            </w:pPr>
            <w:r w:rsidRPr="00567378">
              <w:rPr>
                <w:rFonts w:ascii="Helvetica" w:hAnsi="Helvetica" w:cs="Helvetica"/>
                <w:color w:val="221E1F"/>
                <w:sz w:val="16"/>
                <w:szCs w:val="16"/>
              </w:rPr>
              <w:t>Check assumptions for stage discharge relationships including pipe diameters, weir widths and outlet coefficients</w:t>
            </w:r>
          </w:p>
        </w:tc>
        <w:tc>
          <w:tcPr>
            <w:tcW w:w="1250" w:type="pct"/>
          </w:tcPr>
          <w:p w14:paraId="3D153152" w14:textId="0283ABC7" w:rsidR="009F7837" w:rsidRDefault="009F7837" w:rsidP="009F7837">
            <w:pPr>
              <w:pStyle w:val="TableText"/>
            </w:pPr>
            <w:r>
              <w:rPr>
                <w:rFonts w:ascii="MS Gothic" w:eastAsia="MS Gothic" w:hAnsi="MS Gothic" w:hint="eastAsia"/>
                <w:b/>
                <w:sz w:val="36"/>
                <w:szCs w:val="36"/>
              </w:rPr>
              <w:t>☐</w:t>
            </w:r>
          </w:p>
        </w:tc>
        <w:tc>
          <w:tcPr>
            <w:tcW w:w="1250" w:type="pct"/>
          </w:tcPr>
          <w:p w14:paraId="7111ED54" w14:textId="77777777" w:rsidR="009F7837" w:rsidRDefault="009F7837" w:rsidP="009F7837">
            <w:pPr>
              <w:pStyle w:val="TableText"/>
            </w:pPr>
          </w:p>
        </w:tc>
      </w:tr>
      <w:tr w:rsidR="009F7837" w14:paraId="7F6BFFE8" w14:textId="77777777" w:rsidTr="009F7837">
        <w:trPr>
          <w:cantSplit/>
        </w:trPr>
        <w:tc>
          <w:tcPr>
            <w:tcW w:w="1250" w:type="pct"/>
          </w:tcPr>
          <w:p w14:paraId="1496253F" w14:textId="77777777" w:rsidR="009F7837" w:rsidRDefault="009F7837" w:rsidP="009F7837">
            <w:pPr>
              <w:pStyle w:val="TableText"/>
            </w:pPr>
          </w:p>
        </w:tc>
        <w:tc>
          <w:tcPr>
            <w:tcW w:w="1250" w:type="pct"/>
          </w:tcPr>
          <w:p w14:paraId="5F1FAD90" w14:textId="0324C8E7" w:rsidR="009F7837" w:rsidRDefault="009F7837" w:rsidP="009F7837">
            <w:pPr>
              <w:pStyle w:val="TableText"/>
            </w:pPr>
            <w:r w:rsidRPr="00567378">
              <w:rPr>
                <w:rFonts w:ascii="Helvetica" w:hAnsi="Helvetica" w:cs="Helvetica"/>
                <w:color w:val="221E1F"/>
                <w:sz w:val="16"/>
                <w:szCs w:val="16"/>
              </w:rPr>
              <w:t>Review proposed dimensions, equations and coefficients are appropriately selected</w:t>
            </w:r>
          </w:p>
        </w:tc>
        <w:tc>
          <w:tcPr>
            <w:tcW w:w="1250" w:type="pct"/>
          </w:tcPr>
          <w:p w14:paraId="5D5258AF" w14:textId="0A8EC1C9" w:rsidR="009F7837" w:rsidRDefault="009F7837" w:rsidP="009F7837">
            <w:pPr>
              <w:pStyle w:val="TableText"/>
            </w:pPr>
            <w:r>
              <w:rPr>
                <w:rFonts w:ascii="MS Gothic" w:eastAsia="MS Gothic" w:hAnsi="MS Gothic" w:hint="eastAsia"/>
                <w:b/>
                <w:sz w:val="36"/>
                <w:szCs w:val="36"/>
              </w:rPr>
              <w:t>☐</w:t>
            </w:r>
          </w:p>
        </w:tc>
        <w:tc>
          <w:tcPr>
            <w:tcW w:w="1250" w:type="pct"/>
          </w:tcPr>
          <w:p w14:paraId="3B211694" w14:textId="77777777" w:rsidR="009F7837" w:rsidRDefault="009F7837" w:rsidP="009F7837">
            <w:pPr>
              <w:pStyle w:val="TableText"/>
            </w:pPr>
          </w:p>
        </w:tc>
      </w:tr>
      <w:tr w:rsidR="009F7837" w14:paraId="495826E8" w14:textId="77777777" w:rsidTr="009F7837">
        <w:trPr>
          <w:cantSplit/>
        </w:trPr>
        <w:tc>
          <w:tcPr>
            <w:tcW w:w="1250" w:type="pct"/>
          </w:tcPr>
          <w:p w14:paraId="6D4566CF" w14:textId="582C1141" w:rsidR="009F7837" w:rsidRDefault="009F7837" w:rsidP="009F7837">
            <w:pPr>
              <w:pStyle w:val="TableText"/>
            </w:pPr>
            <w:r w:rsidRPr="00567378">
              <w:rPr>
                <w:rFonts w:ascii="Helvetica" w:hAnsi="Helvetica" w:cs="Helvetica"/>
                <w:color w:val="221E1F"/>
                <w:sz w:val="16"/>
                <w:szCs w:val="16"/>
              </w:rPr>
              <w:t>Peak top water level for the 1design storm event (for example: 1 EY) and maximum flows through wetland as per design</w:t>
            </w:r>
          </w:p>
        </w:tc>
        <w:tc>
          <w:tcPr>
            <w:tcW w:w="1250" w:type="pct"/>
          </w:tcPr>
          <w:p w14:paraId="1A85F309" w14:textId="2D9EC9D9" w:rsidR="009F7837" w:rsidRDefault="009F7837" w:rsidP="009F7837">
            <w:pPr>
              <w:pStyle w:val="TableText"/>
            </w:pPr>
            <w:r w:rsidRPr="00567378">
              <w:rPr>
                <w:rFonts w:ascii="Helvetica" w:hAnsi="Helvetica" w:cs="Helvetica"/>
                <w:color w:val="221E1F"/>
                <w:sz w:val="16"/>
                <w:szCs w:val="16"/>
              </w:rPr>
              <w:t>Check the highest stage has both a storage and discharge value associated with it</w:t>
            </w:r>
          </w:p>
        </w:tc>
        <w:tc>
          <w:tcPr>
            <w:tcW w:w="1250" w:type="pct"/>
          </w:tcPr>
          <w:p w14:paraId="1FC96009" w14:textId="53BBF3F0" w:rsidR="009F7837" w:rsidRDefault="009F7837" w:rsidP="009F7837">
            <w:pPr>
              <w:pStyle w:val="TableText"/>
            </w:pPr>
            <w:r>
              <w:rPr>
                <w:rFonts w:ascii="MS Gothic" w:eastAsia="MS Gothic" w:hAnsi="MS Gothic" w:hint="eastAsia"/>
                <w:b/>
                <w:sz w:val="36"/>
                <w:szCs w:val="36"/>
              </w:rPr>
              <w:t>☐</w:t>
            </w:r>
          </w:p>
        </w:tc>
        <w:tc>
          <w:tcPr>
            <w:tcW w:w="1250" w:type="pct"/>
          </w:tcPr>
          <w:p w14:paraId="0B7602DA" w14:textId="77777777" w:rsidR="009F7837" w:rsidRDefault="009F7837" w:rsidP="009F7837">
            <w:pPr>
              <w:pStyle w:val="TableText"/>
            </w:pPr>
          </w:p>
        </w:tc>
      </w:tr>
    </w:tbl>
    <w:p w14:paraId="0CC129B9" w14:textId="77777777" w:rsidR="00BF1E91" w:rsidRDefault="00BF1E91" w:rsidP="00BF1E91">
      <w:pPr>
        <w:pStyle w:val="Spacebeforetable"/>
        <w:spacing w:before="80" w:after="80" w:line="240" w:lineRule="auto"/>
        <w:rPr>
          <w:sz w:val="22"/>
          <w:szCs w:val="22"/>
        </w:rPr>
      </w:pPr>
    </w:p>
    <w:p w14:paraId="53CA2AA5" w14:textId="77777777" w:rsidR="009B153B" w:rsidRDefault="009B153B" w:rsidP="00AA2B41">
      <w:pPr>
        <w:pStyle w:val="ListNumber"/>
      </w:pPr>
      <w:r w:rsidRPr="003D571A">
        <w:t xml:space="preserve">An inundation frequency analysis of water levels in the macrophyte zone </w:t>
      </w:r>
      <w:r>
        <w:t>and t</w:t>
      </w:r>
      <w:r w:rsidRPr="003D571A">
        <w:t xml:space="preserve">he 90th percentile residence time in the macrophyte zone </w:t>
      </w:r>
      <w:r>
        <w:t>(Report form Wetland Analysis Tool or equivalent).</w:t>
      </w:r>
    </w:p>
    <w:p w14:paraId="0DD2EF42" w14:textId="77777777" w:rsidR="009B153B" w:rsidRDefault="009B153B" w:rsidP="009B153B">
      <w:pPr>
        <w:spacing w:line="264" w:lineRule="auto"/>
      </w:pPr>
    </w:p>
    <w:p w14:paraId="70317F5B" w14:textId="77777777" w:rsidR="009B153B" w:rsidRDefault="009B153B" w:rsidP="009B153B">
      <w:pPr>
        <w:spacing w:line="264" w:lineRule="auto"/>
      </w:pPr>
    </w:p>
    <w:p w14:paraId="35EFB1BB" w14:textId="77777777" w:rsidR="009B153B" w:rsidRDefault="009B153B" w:rsidP="009B153B">
      <w:pPr>
        <w:spacing w:line="264" w:lineRule="auto"/>
      </w:pPr>
    </w:p>
    <w:p w14:paraId="47822D86" w14:textId="77777777" w:rsidR="009B153B" w:rsidRDefault="009B153B" w:rsidP="009B153B">
      <w:pPr>
        <w:spacing w:line="264" w:lineRule="auto"/>
      </w:pPr>
      <w:r>
        <w:br w:type="page"/>
      </w:r>
    </w:p>
    <w:p w14:paraId="6819384E" w14:textId="77777777" w:rsidR="009B153B" w:rsidRDefault="0039142D" w:rsidP="0039142D">
      <w:pPr>
        <w:pStyle w:val="Heading1"/>
        <w:framePr w:wrap="around"/>
        <w:ind w:left="567" w:right="681"/>
      </w:pPr>
      <w:bookmarkStart w:id="54" w:name="_Toc19695212"/>
      <w:bookmarkStart w:id="55" w:name="_Toc184645973"/>
      <w:r>
        <w:lastRenderedPageBreak/>
        <w:t>Appendix A: Stage-Storage-Discharge R</w:t>
      </w:r>
      <w:r w:rsidR="009B153B">
        <w:t>elationships</w:t>
      </w:r>
      <w:bookmarkEnd w:id="54"/>
      <w:bookmarkEnd w:id="55"/>
    </w:p>
    <w:p w14:paraId="2A92053E" w14:textId="77777777" w:rsidR="009B153B" w:rsidRDefault="009B153B" w:rsidP="00C822EA">
      <w:pPr>
        <w:spacing w:before="120" w:line="264" w:lineRule="auto"/>
      </w:pPr>
      <w:r>
        <w:t>Custom stage-storage-discharge relationships are required when modelling wetlands at the functional and detailed design stages. Guidance on preparing these is provided below.</w:t>
      </w:r>
    </w:p>
    <w:p w14:paraId="3EDFED7F" w14:textId="77777777" w:rsidR="009B153B" w:rsidRDefault="009B153B" w:rsidP="00C822EA">
      <w:pPr>
        <w:spacing w:before="120"/>
      </w:pPr>
      <w:r>
        <w:t xml:space="preserve">The stage-storage relationship defines the physical topographic conditions of the proposed asset. </w:t>
      </w:r>
    </w:p>
    <w:p w14:paraId="2FA6F00A" w14:textId="77777777" w:rsidR="009B153B" w:rsidRPr="004314C8" w:rsidRDefault="009B153B" w:rsidP="00C822EA">
      <w:pPr>
        <w:pStyle w:val="Heading3"/>
      </w:pPr>
      <w:bookmarkStart w:id="56" w:name="_Toc184645974"/>
      <w:r w:rsidRPr="004314C8">
        <w:t>Extended detention depth</w:t>
      </w:r>
      <w:bookmarkEnd w:id="56"/>
    </w:p>
    <w:p w14:paraId="32536D60" w14:textId="77777777" w:rsidR="009B153B" w:rsidRDefault="009B153B" w:rsidP="009B153B">
      <w:r>
        <w:t xml:space="preserve">It is important when creating a new custom stage-storage relationship that the user </w:t>
      </w:r>
      <w:r w:rsidRPr="00350DE0">
        <w:rPr>
          <w:i/>
        </w:rPr>
        <w:t>first enter</w:t>
      </w:r>
      <w:r>
        <w:rPr>
          <w:i/>
        </w:rPr>
        <w:t>s</w:t>
      </w:r>
      <w:r w:rsidRPr="00350DE0">
        <w:rPr>
          <w:i/>
        </w:rPr>
        <w:t xml:space="preserve"> the correct extended detention depth in the treatment properties dialogue</w:t>
      </w:r>
      <w:r>
        <w:t>. MUSIC then expects values will be provided in the stage-storage-discharge relationships for at least 2.0 m above this EDD value.</w:t>
      </w:r>
    </w:p>
    <w:p w14:paraId="4597C920" w14:textId="77777777" w:rsidR="009B153B" w:rsidRDefault="009B153B" w:rsidP="009B153B"/>
    <w:p w14:paraId="6B0BB4E0" w14:textId="643A216B" w:rsidR="009B153B" w:rsidRDefault="00D46892" w:rsidP="00C822EA">
      <w:pPr>
        <w:keepNext/>
        <w:jc w:val="center"/>
      </w:pPr>
      <w:r>
        <w:rPr>
          <w:noProof/>
        </w:rPr>
        <mc:AlternateContent>
          <mc:Choice Requires="wps">
            <w:drawing>
              <wp:anchor distT="0" distB="0" distL="114300" distR="114300" simplePos="0" relativeHeight="251664384" behindDoc="0" locked="0" layoutInCell="1" allowOverlap="1" wp14:anchorId="2D66EA52" wp14:editId="3675E760">
                <wp:simplePos x="0" y="0"/>
                <wp:positionH relativeFrom="column">
                  <wp:posOffset>1628140</wp:posOffset>
                </wp:positionH>
                <wp:positionV relativeFrom="paragraph">
                  <wp:posOffset>2878455</wp:posOffset>
                </wp:positionV>
                <wp:extent cx="1800225" cy="200025"/>
                <wp:effectExtent l="0" t="0" r="9525" b="9525"/>
                <wp:wrapNone/>
                <wp:docPr id="6118943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958C8" id="Oval 2" o:spid="_x0000_s1026" style="position:absolute;margin-left:128.2pt;margin-top:226.65pt;width:141.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" filled="f" strokecolor="red" strokeweight="2pt">
                <v:path arrowok="t"/>
              </v:oval>
            </w:pict>
          </mc:Fallback>
        </mc:AlternateContent>
      </w:r>
      <w:r>
        <w:rPr>
          <w:noProof/>
        </w:rPr>
        <mc:AlternateContent>
          <mc:Choice Requires="wps">
            <w:drawing>
              <wp:anchor distT="0" distB="0" distL="114300" distR="114300" simplePos="0" relativeHeight="251663360" behindDoc="0" locked="0" layoutInCell="1" allowOverlap="1" wp14:anchorId="5A206E65" wp14:editId="09AF41AC">
                <wp:simplePos x="0" y="0"/>
                <wp:positionH relativeFrom="column">
                  <wp:posOffset>3333750</wp:posOffset>
                </wp:positionH>
                <wp:positionV relativeFrom="paragraph">
                  <wp:posOffset>1439545</wp:posOffset>
                </wp:positionV>
                <wp:extent cx="304800" cy="180975"/>
                <wp:effectExtent l="0" t="0" r="0" b="9525"/>
                <wp:wrapNone/>
                <wp:docPr id="64517019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8D8E8" id="Oval 1" o:spid="_x0000_s1026" style="position:absolute;margin-left:262.5pt;margin-top:113.35pt;width:24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" filled="f" strokecolor="red" strokeweight="2pt">
                <v:path arrowok="t"/>
              </v:oval>
            </w:pict>
          </mc:Fallback>
        </mc:AlternateContent>
      </w:r>
      <w:r w:rsidR="009B153B">
        <w:rPr>
          <w:noProof/>
        </w:rPr>
        <w:drawing>
          <wp:inline distT="0" distB="0" distL="0" distR="0" wp14:anchorId="5B7D128E" wp14:editId="683DC7BF">
            <wp:extent cx="2476500" cy="40370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9336" cy="4041658"/>
                    </a:xfrm>
                    <a:prstGeom prst="rect">
                      <a:avLst/>
                    </a:prstGeom>
                  </pic:spPr>
                </pic:pic>
              </a:graphicData>
            </a:graphic>
          </wp:inline>
        </w:drawing>
      </w:r>
    </w:p>
    <w:p w14:paraId="3B26F6ED" w14:textId="5EDFB478" w:rsidR="00451741" w:rsidRDefault="009B153B" w:rsidP="00451741">
      <w:pPr>
        <w:pStyle w:val="Caption"/>
        <w:spacing w:after="0"/>
        <w:jc w:val="center"/>
      </w:pPr>
      <w:bookmarkStart w:id="57" w:name="_Toc184645987"/>
      <w:r>
        <w:t xml:space="preserve">Figure </w:t>
      </w:r>
      <w:r>
        <w:rPr>
          <w:noProof/>
        </w:rPr>
        <w:fldChar w:fldCharType="begin"/>
      </w:r>
      <w:r>
        <w:rPr>
          <w:noProof/>
        </w:rPr>
        <w:instrText xml:space="preserve"> SEQ Figure \* ARABIC </w:instrText>
      </w:r>
      <w:r>
        <w:rPr>
          <w:noProof/>
        </w:rPr>
        <w:fldChar w:fldCharType="separate"/>
      </w:r>
      <w:r w:rsidR="00E228A6">
        <w:rPr>
          <w:noProof/>
        </w:rPr>
        <w:t>9</w:t>
      </w:r>
      <w:r>
        <w:rPr>
          <w:noProof/>
        </w:rPr>
        <w:fldChar w:fldCharType="end"/>
      </w:r>
      <w:r w:rsidR="00C822EA">
        <w:rPr>
          <w:noProof/>
        </w:rPr>
        <w:t>:</w:t>
      </w:r>
      <w:r>
        <w:t xml:space="preserve"> Set Extended Detention Depth</w:t>
      </w:r>
      <w:bookmarkEnd w:id="57"/>
    </w:p>
    <w:p w14:paraId="60DBBE2F" w14:textId="77777777" w:rsidR="009B153B" w:rsidRPr="00451741" w:rsidRDefault="009B153B" w:rsidP="00451741">
      <w:pPr>
        <w:pStyle w:val="BodyText"/>
        <w:spacing w:before="0"/>
        <w:jc w:val="center"/>
        <w:rPr>
          <w:b/>
          <w:color w:val="003263" w:themeColor="text2"/>
          <w:sz w:val="16"/>
          <w:szCs w:val="16"/>
        </w:rPr>
      </w:pPr>
      <w:r w:rsidRPr="00451741">
        <w:rPr>
          <w:b/>
          <w:color w:val="003263" w:themeColor="text2"/>
          <w:sz w:val="16"/>
          <w:szCs w:val="16"/>
        </w:rPr>
        <w:t>before entering ‘Custom Outflow and Storage Relationship’</w:t>
      </w:r>
      <w:r w:rsidR="003A1219" w:rsidRPr="00451741">
        <w:rPr>
          <w:b/>
          <w:color w:val="003263" w:themeColor="text2"/>
          <w:sz w:val="16"/>
          <w:szCs w:val="16"/>
        </w:rPr>
        <w:t>.</w:t>
      </w:r>
    </w:p>
    <w:p w14:paraId="691BF3FA" w14:textId="77777777" w:rsidR="009B153B" w:rsidRPr="00350DE0" w:rsidRDefault="009B153B" w:rsidP="00451741">
      <w:pPr>
        <w:pStyle w:val="Heading3"/>
        <w:spacing w:before="360"/>
      </w:pPr>
      <w:bookmarkStart w:id="58" w:name="_Toc184645975"/>
      <w:r w:rsidRPr="00350DE0">
        <w:t>Stage-storage</w:t>
      </w:r>
      <w:bookmarkEnd w:id="58"/>
    </w:p>
    <w:p w14:paraId="706BB507" w14:textId="77777777" w:rsidR="009B153B" w:rsidRDefault="009B153B" w:rsidP="00C822EA">
      <w:pPr>
        <w:spacing w:before="120"/>
      </w:pPr>
      <w:r>
        <w:t>The stage-storage relationship should be entered prior to defining the stage-discharge relationships for pipe and weir flow.</w:t>
      </w:r>
      <w:r w:rsidRPr="00765FD9">
        <w:t xml:space="preserve"> </w:t>
      </w:r>
    </w:p>
    <w:p w14:paraId="6F0CCD5E" w14:textId="77777777" w:rsidR="009B153B" w:rsidRDefault="009B153B" w:rsidP="00C822EA">
      <w:pPr>
        <w:spacing w:before="120"/>
      </w:pPr>
      <w:r>
        <w:t>A stage value of 0 represents the wetland NWL and the corresponding storage volume at NWL represents the wetland permanent pond volume. The specified stage-storage relationship must be consistent with the submitted functional design.</w:t>
      </w:r>
    </w:p>
    <w:p w14:paraId="592F8ADB" w14:textId="2E4C8026" w:rsidR="009B153B" w:rsidRDefault="009B153B" w:rsidP="00C822EA">
      <w:pPr>
        <w:spacing w:before="120"/>
      </w:pPr>
      <w:r>
        <w:fldChar w:fldCharType="begin"/>
      </w:r>
      <w:r>
        <w:instrText xml:space="preserve"> REF _Ref5013363 \h </w:instrText>
      </w:r>
      <w:r>
        <w:fldChar w:fldCharType="separate"/>
      </w:r>
      <w:r w:rsidR="00E228A6">
        <w:t xml:space="preserve">Figure </w:t>
      </w:r>
      <w:r w:rsidR="00E228A6">
        <w:rPr>
          <w:noProof/>
        </w:rPr>
        <w:t>10</w:t>
      </w:r>
      <w:r>
        <w:fldChar w:fldCharType="end"/>
      </w:r>
      <w:r>
        <w:t xml:space="preserve"> is a screenshot of an example stage-storage relationship dialogue box from MUSIC. The relationship is generally defined by the output of an earthworks model. </w:t>
      </w:r>
    </w:p>
    <w:p w14:paraId="0FEEC934" w14:textId="77777777" w:rsidR="009B153B" w:rsidRPr="00765FD9" w:rsidRDefault="009B153B" w:rsidP="009B153B"/>
    <w:p w14:paraId="56A99AF8" w14:textId="77777777" w:rsidR="009B153B" w:rsidRDefault="009B153B" w:rsidP="00C822EA">
      <w:pPr>
        <w:keepNext/>
        <w:jc w:val="center"/>
      </w:pPr>
      <w:r>
        <w:rPr>
          <w:noProof/>
        </w:rPr>
        <w:drawing>
          <wp:inline distT="0" distB="0" distL="0" distR="0" wp14:anchorId="2524D563" wp14:editId="111AF921">
            <wp:extent cx="5579745" cy="36068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9745" cy="3606800"/>
                    </a:xfrm>
                    <a:prstGeom prst="rect">
                      <a:avLst/>
                    </a:prstGeom>
                  </pic:spPr>
                </pic:pic>
              </a:graphicData>
            </a:graphic>
          </wp:inline>
        </w:drawing>
      </w:r>
    </w:p>
    <w:p w14:paraId="43AAF615" w14:textId="733B5129" w:rsidR="003A1219" w:rsidRDefault="009B153B" w:rsidP="003A1219">
      <w:pPr>
        <w:pStyle w:val="Caption"/>
        <w:spacing w:before="120" w:after="0"/>
        <w:jc w:val="center"/>
      </w:pPr>
      <w:bookmarkStart w:id="59" w:name="_Ref5013363"/>
      <w:bookmarkStart w:id="60" w:name="_Toc184645988"/>
      <w:r>
        <w:t xml:space="preserve">Figure </w:t>
      </w:r>
      <w:r>
        <w:rPr>
          <w:noProof/>
        </w:rPr>
        <w:fldChar w:fldCharType="begin"/>
      </w:r>
      <w:r>
        <w:rPr>
          <w:noProof/>
        </w:rPr>
        <w:instrText xml:space="preserve"> SEQ Figure \* ARABIC </w:instrText>
      </w:r>
      <w:r>
        <w:rPr>
          <w:noProof/>
        </w:rPr>
        <w:fldChar w:fldCharType="separate"/>
      </w:r>
      <w:r w:rsidR="00E228A6">
        <w:rPr>
          <w:noProof/>
        </w:rPr>
        <w:t>10</w:t>
      </w:r>
      <w:r>
        <w:rPr>
          <w:noProof/>
        </w:rPr>
        <w:fldChar w:fldCharType="end"/>
      </w:r>
      <w:bookmarkEnd w:id="59"/>
      <w:r w:rsidR="00C822EA">
        <w:rPr>
          <w:noProof/>
        </w:rPr>
        <w:t>:</w:t>
      </w:r>
      <w:r>
        <w:t xml:space="preserve"> Exa</w:t>
      </w:r>
      <w:r w:rsidR="003A1219">
        <w:t>mple Stage-Storage Relationship.</w:t>
      </w:r>
      <w:bookmarkEnd w:id="60"/>
    </w:p>
    <w:p w14:paraId="10AF633E" w14:textId="77777777" w:rsidR="009B153B" w:rsidRDefault="003A1219" w:rsidP="003A1219">
      <w:pPr>
        <w:pStyle w:val="BodyText"/>
        <w:spacing w:before="0" w:after="0"/>
        <w:jc w:val="center"/>
        <w:rPr>
          <w:b/>
          <w:color w:val="003263" w:themeColor="text2"/>
          <w:sz w:val="16"/>
          <w:szCs w:val="16"/>
        </w:rPr>
      </w:pPr>
      <w:r>
        <w:rPr>
          <w:b/>
          <w:color w:val="003263" w:themeColor="text2"/>
          <w:sz w:val="16"/>
          <w:szCs w:val="16"/>
        </w:rPr>
        <w:t>W</w:t>
      </w:r>
      <w:r w:rsidR="009B153B" w:rsidRPr="003A1219">
        <w:rPr>
          <w:b/>
          <w:color w:val="003263" w:themeColor="text2"/>
          <w:sz w:val="16"/>
          <w:szCs w:val="16"/>
        </w:rPr>
        <w:t>here 1 is the Height increment and decimal places settings, 2 is the option to open data from a text file and 3 is the option to paste copied data from a text file.</w:t>
      </w:r>
    </w:p>
    <w:p w14:paraId="337EEC4F" w14:textId="77777777" w:rsidR="003A1219" w:rsidRPr="003A1219" w:rsidRDefault="003A1219" w:rsidP="003A1219">
      <w:pPr>
        <w:pStyle w:val="BodyText"/>
        <w:spacing w:before="0" w:after="0"/>
        <w:jc w:val="center"/>
        <w:rPr>
          <w:b/>
          <w:color w:val="003263" w:themeColor="text2"/>
          <w:sz w:val="16"/>
          <w:szCs w:val="16"/>
        </w:rPr>
      </w:pPr>
    </w:p>
    <w:p w14:paraId="273C61AD" w14:textId="77777777" w:rsidR="009B153B" w:rsidRDefault="009B153B" w:rsidP="009B153B">
      <w:r>
        <w:t xml:space="preserve">The data output from the earthworks model should be saved with a *.csv file extension. It is recommended the data is viewed in a text editor (e.g. Notepad) to ensure the data does not contain additional formatting or formulas. The data must be presented in the following format for input to MUSIC: </w:t>
      </w:r>
    </w:p>
    <w:p w14:paraId="527BEE8E" w14:textId="77777777" w:rsidR="009B153B" w:rsidRDefault="009B153B" w:rsidP="00C822EA">
      <w:pPr>
        <w:pStyle w:val="ListBullet"/>
      </w:pPr>
      <w:r>
        <w:t>No header line</w:t>
      </w:r>
    </w:p>
    <w:p w14:paraId="777BAD14" w14:textId="77777777" w:rsidR="009B153B" w:rsidRDefault="009B153B" w:rsidP="00C822EA">
      <w:pPr>
        <w:pStyle w:val="ListBullet"/>
      </w:pPr>
      <w:r>
        <w:t>Comma or space delineated</w:t>
      </w:r>
    </w:p>
    <w:p w14:paraId="5EABBCE5" w14:textId="72B2374A" w:rsidR="009B153B" w:rsidRDefault="009B153B" w:rsidP="00C822EA">
      <w:pPr>
        <w:pStyle w:val="ListBullet"/>
      </w:pPr>
      <w:r>
        <w:t xml:space="preserve">Set Height increment (m) to 0.1 m and Decimal places to at least 4 decimal places (Recommended) (Note 1 </w:t>
      </w:r>
      <w:r>
        <w:fldChar w:fldCharType="begin"/>
      </w:r>
      <w:r>
        <w:instrText xml:space="preserve"> REF _Ref5013363 \h </w:instrText>
      </w:r>
      <w:r>
        <w:fldChar w:fldCharType="separate"/>
      </w:r>
      <w:r w:rsidR="00E228A6">
        <w:t xml:space="preserve">Figure </w:t>
      </w:r>
      <w:r w:rsidR="00E228A6">
        <w:rPr>
          <w:noProof/>
        </w:rPr>
        <w:t>10</w:t>
      </w:r>
      <w:r>
        <w:fldChar w:fldCharType="end"/>
      </w:r>
      <w:r>
        <w:t>)</w:t>
      </w:r>
    </w:p>
    <w:p w14:paraId="7D7A74EE" w14:textId="77777777" w:rsidR="009B153B" w:rsidRDefault="009B153B" w:rsidP="00C822EA">
      <w:pPr>
        <w:pStyle w:val="ListBullet"/>
      </w:pPr>
      <w:r>
        <w:t>Stage-Storage relationship must extend at least 2.0 m above the extended detention level (rounded up to the nearest 100 mm) – to ensure significant changes in storage are recorded and rounding errors avoided</w:t>
      </w:r>
    </w:p>
    <w:p w14:paraId="5DE4C333" w14:textId="77777777" w:rsidR="009B153B" w:rsidRDefault="009B153B" w:rsidP="00C822EA">
      <w:pPr>
        <w:pStyle w:val="ListBullet"/>
      </w:pPr>
      <w:r>
        <w:t>Use standard number format (MUSIC will convert these to scientific format)</w:t>
      </w:r>
    </w:p>
    <w:p w14:paraId="2C21555E" w14:textId="77777777" w:rsidR="009B153B" w:rsidRDefault="009B153B" w:rsidP="00C822EA">
      <w:pPr>
        <w:pStyle w:val="ListBullet"/>
      </w:pPr>
      <w:r>
        <w:t>A starting height of 0.00 m represents NWL of the wetland</w:t>
      </w:r>
    </w:p>
    <w:p w14:paraId="15D4C8D3" w14:textId="77777777" w:rsidR="009B153B" w:rsidRDefault="009B153B" w:rsidP="00C822EA">
      <w:pPr>
        <w:pStyle w:val="ListBullet"/>
      </w:pPr>
      <w:r>
        <w:t>Starting volume is the storage below NWL (i.e. permanent pool volume)</w:t>
      </w:r>
    </w:p>
    <w:p w14:paraId="1F28F9AE" w14:textId="3DCF12BC" w:rsidR="009B153B" w:rsidRDefault="009B153B" w:rsidP="00C822EA">
      <w:pPr>
        <w:spacing w:before="240"/>
      </w:pPr>
      <w:r>
        <w:t xml:space="preserve">Once formatted correctly, the *.csv file containing the earthworks model data can be imported using the open button (Note 2, </w:t>
      </w:r>
      <w:r>
        <w:fldChar w:fldCharType="begin"/>
      </w:r>
      <w:r>
        <w:instrText xml:space="preserve"> REF _Ref5013363 \h </w:instrText>
      </w:r>
      <w:r>
        <w:fldChar w:fldCharType="separate"/>
      </w:r>
      <w:r w:rsidR="00E228A6">
        <w:t xml:space="preserve">Figure </w:t>
      </w:r>
      <w:r w:rsidR="00E228A6">
        <w:rPr>
          <w:noProof/>
        </w:rPr>
        <w:t>10</w:t>
      </w:r>
      <w:r>
        <w:fldChar w:fldCharType="end"/>
      </w:r>
      <w:r>
        <w:t xml:space="preserve">) or copied to the clipboard and pasted using the paste button (Note 3, </w:t>
      </w:r>
      <w:r>
        <w:fldChar w:fldCharType="begin"/>
      </w:r>
      <w:r>
        <w:instrText xml:space="preserve"> REF _Ref5013363 \h </w:instrText>
      </w:r>
      <w:r>
        <w:fldChar w:fldCharType="separate"/>
      </w:r>
      <w:r w:rsidR="00E228A6">
        <w:t xml:space="preserve">Figure </w:t>
      </w:r>
      <w:r w:rsidR="00E228A6">
        <w:rPr>
          <w:noProof/>
        </w:rPr>
        <w:t>10</w:t>
      </w:r>
      <w:r>
        <w:fldChar w:fldCharType="end"/>
      </w:r>
      <w:r>
        <w:t>).</w:t>
      </w:r>
    </w:p>
    <w:p w14:paraId="01FF5671" w14:textId="1CC99CD7" w:rsidR="009B153B" w:rsidRDefault="009B153B" w:rsidP="00C822EA">
      <w:pPr>
        <w:spacing w:before="120"/>
      </w:pPr>
      <w:r>
        <w:lastRenderedPageBreak/>
        <w:t xml:space="preserve">In the example provided in </w:t>
      </w:r>
      <w:r>
        <w:fldChar w:fldCharType="begin"/>
      </w:r>
      <w:r>
        <w:instrText xml:space="preserve"> REF _Ref5013363 \h </w:instrText>
      </w:r>
      <w:r>
        <w:fldChar w:fldCharType="separate"/>
      </w:r>
      <w:r w:rsidR="00E228A6">
        <w:t xml:space="preserve">Figure </w:t>
      </w:r>
      <w:r w:rsidR="00E228A6">
        <w:rPr>
          <w:noProof/>
        </w:rPr>
        <w:t>10</w:t>
      </w:r>
      <w:r>
        <w:fldChar w:fldCharType="end"/>
      </w:r>
      <w:r>
        <w:t xml:space="preserve">, an extended detention depth of 0.35 m was adopted and therefore the stage-storage relationship must be defined up to a height of at least 2.35m (2.0 m above the EDD = 2.0 + 2.35 = 2.35 m). </w:t>
      </w:r>
    </w:p>
    <w:p w14:paraId="3BA3D271" w14:textId="3761D8B8" w:rsidR="009B153B" w:rsidRDefault="009B153B" w:rsidP="00C822EA">
      <w:pPr>
        <w:spacing w:before="120"/>
      </w:pPr>
      <w:r>
        <w:t xml:space="preserve">Often the data from the associated earthworks model will not contain storage values for all stages up to 2.35m above NWL, unless the wetland is located within a retarding basin. Generally, the stage-storage curve can be extrapolated linearly from the highest two stage-storage data points to the target stage value (2.0 m + EDD), see </w:t>
      </w:r>
      <w:r>
        <w:fldChar w:fldCharType="begin"/>
      </w:r>
      <w:r>
        <w:instrText xml:space="preserve"> REF _Ref19630722 \h </w:instrText>
      </w:r>
      <w:r>
        <w:fldChar w:fldCharType="separate"/>
      </w:r>
      <w:r w:rsidR="00E228A6">
        <w:t xml:space="preserve">Figure </w:t>
      </w:r>
      <w:r w:rsidR="00E228A6">
        <w:rPr>
          <w:noProof/>
        </w:rPr>
        <w:t>11</w:t>
      </w:r>
      <w:r>
        <w:fldChar w:fldCharType="end"/>
      </w:r>
      <w:r>
        <w:t>. Since the wetland should rarely reach these water levels this should usually be a reasonable approximation.</w:t>
      </w:r>
    </w:p>
    <w:p w14:paraId="16CD0509" w14:textId="77777777" w:rsidR="009B153B" w:rsidRDefault="009B153B" w:rsidP="009B153B"/>
    <w:p w14:paraId="5246D56D" w14:textId="77777777" w:rsidR="009B153B" w:rsidRDefault="009B153B" w:rsidP="00C822EA">
      <w:pPr>
        <w:keepNext/>
        <w:jc w:val="center"/>
      </w:pPr>
      <w:r>
        <w:rPr>
          <w:noProof/>
        </w:rPr>
        <w:drawing>
          <wp:inline distT="0" distB="0" distL="0" distR="0" wp14:anchorId="52D42960" wp14:editId="30441F2B">
            <wp:extent cx="5764298" cy="376110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4915" cy="3768032"/>
                    </a:xfrm>
                    <a:prstGeom prst="rect">
                      <a:avLst/>
                    </a:prstGeom>
                    <a:noFill/>
                  </pic:spPr>
                </pic:pic>
              </a:graphicData>
            </a:graphic>
          </wp:inline>
        </w:drawing>
      </w:r>
    </w:p>
    <w:p w14:paraId="0276A86B" w14:textId="756F040D" w:rsidR="009B153B" w:rsidRDefault="009B153B" w:rsidP="00C822EA">
      <w:pPr>
        <w:pStyle w:val="Caption"/>
        <w:jc w:val="center"/>
      </w:pPr>
      <w:bookmarkStart w:id="61" w:name="_Ref19630722"/>
      <w:bookmarkStart w:id="62" w:name="_Toc184645989"/>
      <w:r>
        <w:t xml:space="preserve">Figure </w:t>
      </w:r>
      <w:r>
        <w:rPr>
          <w:noProof/>
        </w:rPr>
        <w:fldChar w:fldCharType="begin"/>
      </w:r>
      <w:r>
        <w:rPr>
          <w:noProof/>
        </w:rPr>
        <w:instrText xml:space="preserve"> SEQ Figure \* ARABIC </w:instrText>
      </w:r>
      <w:r>
        <w:rPr>
          <w:noProof/>
        </w:rPr>
        <w:fldChar w:fldCharType="separate"/>
      </w:r>
      <w:r w:rsidR="00E228A6">
        <w:rPr>
          <w:noProof/>
        </w:rPr>
        <w:t>11</w:t>
      </w:r>
      <w:r>
        <w:rPr>
          <w:noProof/>
        </w:rPr>
        <w:fldChar w:fldCharType="end"/>
      </w:r>
      <w:bookmarkEnd w:id="61"/>
      <w:r w:rsidR="00C822EA">
        <w:rPr>
          <w:noProof/>
        </w:rPr>
        <w:t>:</w:t>
      </w:r>
      <w:r>
        <w:t xml:space="preserve"> Extrapolation of storage to target stage value</w:t>
      </w:r>
      <w:r w:rsidR="003A1219">
        <w:t>.</w:t>
      </w:r>
      <w:bookmarkEnd w:id="62"/>
    </w:p>
    <w:p w14:paraId="1D27C0FA" w14:textId="77777777" w:rsidR="009B153B" w:rsidRDefault="009B153B" w:rsidP="009B153B">
      <w:pPr>
        <w:pStyle w:val="Heading3"/>
        <w:numPr>
          <w:ilvl w:val="2"/>
          <w:numId w:val="0"/>
        </w:numPr>
        <w:tabs>
          <w:tab w:val="left" w:pos="0"/>
        </w:tabs>
        <w:spacing w:before="360" w:line="336" w:lineRule="auto"/>
        <w:ind w:left="567" w:hanging="567"/>
      </w:pPr>
      <w:bookmarkStart w:id="63" w:name="_Toc19695213"/>
      <w:bookmarkStart w:id="64" w:name="_Toc184645976"/>
      <w:r>
        <w:t>Stage-Discharge Relationship</w:t>
      </w:r>
      <w:bookmarkEnd w:id="63"/>
      <w:bookmarkEnd w:id="64"/>
    </w:p>
    <w:p w14:paraId="192301D4" w14:textId="77777777" w:rsidR="009B153B" w:rsidRDefault="009B153B" w:rsidP="00C822EA">
      <w:pPr>
        <w:spacing w:before="120"/>
      </w:pPr>
      <w:r>
        <w:t>The stage-discharge relationship defines the outflow behaviour in terms of both outflow (pipe flow) and overflow (weir flow).</w:t>
      </w:r>
    </w:p>
    <w:p w14:paraId="6F09E5AC" w14:textId="77777777" w:rsidR="009B153B" w:rsidRDefault="009B153B" w:rsidP="00C822EA">
      <w:pPr>
        <w:spacing w:before="120"/>
      </w:pPr>
      <w:r>
        <w:t xml:space="preserve">In its calculations, MUSIC interpolates between the stage (water level) and total discharge, which is the sum of pipe and weir discharges. To support this, all possible combinations of stage and total discharge should be unique and the total discharge should always increase with stage. The curve cannot be flat or increase then decrease as there would then be two possible stages which have the same discharge. </w:t>
      </w:r>
    </w:p>
    <w:p w14:paraId="69BCF882" w14:textId="51B84FC4" w:rsidR="009B153B" w:rsidRDefault="009B153B" w:rsidP="003A1219">
      <w:pPr>
        <w:spacing w:before="120"/>
      </w:pPr>
      <w:r>
        <w:fldChar w:fldCharType="begin"/>
      </w:r>
      <w:r>
        <w:instrText xml:space="preserve"> REF _Ref969309 \h </w:instrText>
      </w:r>
      <w:r>
        <w:fldChar w:fldCharType="separate"/>
      </w:r>
      <w:r w:rsidR="00E228A6">
        <w:t xml:space="preserve">Figure </w:t>
      </w:r>
      <w:r w:rsidR="00E228A6">
        <w:rPr>
          <w:noProof/>
        </w:rPr>
        <w:t>12</w:t>
      </w:r>
      <w:r>
        <w:fldChar w:fldCharType="end"/>
      </w:r>
      <w:r>
        <w:t xml:space="preserve"> and </w:t>
      </w:r>
      <w:r>
        <w:fldChar w:fldCharType="begin"/>
      </w:r>
      <w:r>
        <w:instrText xml:space="preserve"> REF _Ref969311 \h </w:instrText>
      </w:r>
      <w:r>
        <w:fldChar w:fldCharType="separate"/>
      </w:r>
      <w:r w:rsidR="00E228A6">
        <w:t xml:space="preserve">Figure </w:t>
      </w:r>
      <w:r w:rsidR="00E228A6">
        <w:rPr>
          <w:noProof/>
        </w:rPr>
        <w:t>13</w:t>
      </w:r>
      <w:r>
        <w:fldChar w:fldCharType="end"/>
      </w:r>
      <w:r>
        <w:t xml:space="preserve"> show example stage discharge curves for low (‘pipe’) flows and high (‘weir’) flows, respectively.</w:t>
      </w:r>
    </w:p>
    <w:p w14:paraId="11968B57" w14:textId="77777777" w:rsidR="009B153B" w:rsidRDefault="009B153B" w:rsidP="00C822EA">
      <w:pPr>
        <w:keepNext/>
        <w:jc w:val="center"/>
      </w:pPr>
      <w:r>
        <w:rPr>
          <w:noProof/>
        </w:rPr>
        <w:lastRenderedPageBreak/>
        <w:drawing>
          <wp:inline distT="0" distB="0" distL="0" distR="0" wp14:anchorId="406C7F8D" wp14:editId="1D661047">
            <wp:extent cx="5648209" cy="3667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4815" cy="3677906"/>
                    </a:xfrm>
                    <a:prstGeom prst="rect">
                      <a:avLst/>
                    </a:prstGeom>
                  </pic:spPr>
                </pic:pic>
              </a:graphicData>
            </a:graphic>
          </wp:inline>
        </w:drawing>
      </w:r>
    </w:p>
    <w:p w14:paraId="576C4299" w14:textId="0049E6E9" w:rsidR="003A1219" w:rsidRDefault="009B153B" w:rsidP="003A1219">
      <w:pPr>
        <w:pStyle w:val="Caption"/>
        <w:spacing w:before="120" w:after="0"/>
        <w:jc w:val="center"/>
      </w:pPr>
      <w:bookmarkStart w:id="65" w:name="_Ref969309"/>
      <w:bookmarkStart w:id="66" w:name="_Toc184645990"/>
      <w:r>
        <w:t xml:space="preserve">Figure </w:t>
      </w:r>
      <w:r>
        <w:rPr>
          <w:noProof/>
        </w:rPr>
        <w:fldChar w:fldCharType="begin"/>
      </w:r>
      <w:r>
        <w:rPr>
          <w:noProof/>
        </w:rPr>
        <w:instrText xml:space="preserve"> SEQ Figure \* ARABIC </w:instrText>
      </w:r>
      <w:r>
        <w:rPr>
          <w:noProof/>
        </w:rPr>
        <w:fldChar w:fldCharType="separate"/>
      </w:r>
      <w:r w:rsidR="00E228A6">
        <w:rPr>
          <w:noProof/>
        </w:rPr>
        <w:t>12</w:t>
      </w:r>
      <w:r>
        <w:rPr>
          <w:noProof/>
        </w:rPr>
        <w:fldChar w:fldCharType="end"/>
      </w:r>
      <w:bookmarkEnd w:id="65"/>
      <w:r w:rsidR="00C822EA">
        <w:rPr>
          <w:noProof/>
        </w:rPr>
        <w:t>:</w:t>
      </w:r>
      <w:r>
        <w:t xml:space="preserve"> Example Stage Discharge Relationship for Pipe Flow</w:t>
      </w:r>
      <w:r w:rsidR="003A1219">
        <w:t>.</w:t>
      </w:r>
      <w:bookmarkEnd w:id="66"/>
    </w:p>
    <w:p w14:paraId="6F43D80C" w14:textId="77777777" w:rsidR="009B153B" w:rsidRDefault="003A1219" w:rsidP="003A1219">
      <w:pPr>
        <w:pStyle w:val="BodyText"/>
        <w:spacing w:before="0"/>
        <w:jc w:val="center"/>
        <w:rPr>
          <w:b/>
          <w:color w:val="003263" w:themeColor="text2"/>
          <w:sz w:val="16"/>
          <w:szCs w:val="16"/>
        </w:rPr>
      </w:pPr>
      <w:r>
        <w:rPr>
          <w:b/>
          <w:color w:val="003263" w:themeColor="text2"/>
          <w:sz w:val="16"/>
          <w:szCs w:val="16"/>
        </w:rPr>
        <w:t>W</w:t>
      </w:r>
      <w:r w:rsidR="009B153B" w:rsidRPr="003A1219">
        <w:rPr>
          <w:b/>
          <w:color w:val="003263" w:themeColor="text2"/>
          <w:sz w:val="16"/>
          <w:szCs w:val="16"/>
        </w:rPr>
        <w:t>here 1 denotes whether the imported data will replace or add to the pipe flow based on the equivalent pipe diameter in MUSIC (usually use replace), 2 denotes the stage-discharge table and 3 denotes the settings for Height increment and decimal places.</w:t>
      </w:r>
    </w:p>
    <w:p w14:paraId="18C436DA" w14:textId="77777777" w:rsidR="003A1219" w:rsidRPr="003A1219" w:rsidRDefault="003A1219" w:rsidP="003A1219">
      <w:pPr>
        <w:pStyle w:val="BodyText"/>
        <w:spacing w:before="0"/>
        <w:jc w:val="center"/>
        <w:rPr>
          <w:b/>
          <w:color w:val="003263" w:themeColor="text2"/>
          <w:sz w:val="16"/>
          <w:szCs w:val="16"/>
        </w:rPr>
      </w:pPr>
    </w:p>
    <w:p w14:paraId="3A7911A7" w14:textId="77777777" w:rsidR="009B153B" w:rsidRDefault="009B153B" w:rsidP="009B153B"/>
    <w:p w14:paraId="51A6FFF2" w14:textId="77777777" w:rsidR="009B153B" w:rsidRDefault="009B153B" w:rsidP="00C822EA">
      <w:pPr>
        <w:keepNext/>
        <w:jc w:val="center"/>
      </w:pPr>
      <w:r>
        <w:rPr>
          <w:noProof/>
        </w:rPr>
        <w:lastRenderedPageBreak/>
        <w:drawing>
          <wp:inline distT="0" distB="0" distL="0" distR="0" wp14:anchorId="6F8B3547" wp14:editId="4A87DB8E">
            <wp:extent cx="5527802" cy="3581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1714" cy="3603371"/>
                    </a:xfrm>
                    <a:prstGeom prst="rect">
                      <a:avLst/>
                    </a:prstGeom>
                  </pic:spPr>
                </pic:pic>
              </a:graphicData>
            </a:graphic>
          </wp:inline>
        </w:drawing>
      </w:r>
    </w:p>
    <w:p w14:paraId="0EB5BD4F" w14:textId="3EF8B397" w:rsidR="003A1219" w:rsidRDefault="009B153B" w:rsidP="003A1219">
      <w:pPr>
        <w:pStyle w:val="Caption"/>
        <w:spacing w:before="120" w:after="0"/>
        <w:jc w:val="center"/>
      </w:pPr>
      <w:bookmarkStart w:id="67" w:name="_Ref969311"/>
      <w:bookmarkStart w:id="68" w:name="_Toc184645991"/>
      <w:r>
        <w:t xml:space="preserve">Figure </w:t>
      </w:r>
      <w:r>
        <w:rPr>
          <w:noProof/>
        </w:rPr>
        <w:fldChar w:fldCharType="begin"/>
      </w:r>
      <w:r>
        <w:rPr>
          <w:noProof/>
        </w:rPr>
        <w:instrText xml:space="preserve"> SEQ Figure \* ARABIC </w:instrText>
      </w:r>
      <w:r>
        <w:rPr>
          <w:noProof/>
        </w:rPr>
        <w:fldChar w:fldCharType="separate"/>
      </w:r>
      <w:r w:rsidR="00E228A6">
        <w:rPr>
          <w:noProof/>
        </w:rPr>
        <w:t>13</w:t>
      </w:r>
      <w:r>
        <w:rPr>
          <w:noProof/>
        </w:rPr>
        <w:fldChar w:fldCharType="end"/>
      </w:r>
      <w:bookmarkEnd w:id="67"/>
      <w:r w:rsidR="00C822EA">
        <w:rPr>
          <w:noProof/>
        </w:rPr>
        <w:t>:</w:t>
      </w:r>
      <w:r>
        <w:t xml:space="preserve"> Example Stage Discharge Relationship for Weir Flow</w:t>
      </w:r>
      <w:r w:rsidR="003A1219">
        <w:t>.</w:t>
      </w:r>
      <w:bookmarkEnd w:id="68"/>
    </w:p>
    <w:p w14:paraId="6D2C43BB" w14:textId="77777777" w:rsidR="009B153B" w:rsidRPr="003A1219" w:rsidRDefault="003A1219" w:rsidP="003A1219">
      <w:pPr>
        <w:pStyle w:val="BodyText"/>
        <w:spacing w:before="0"/>
        <w:jc w:val="center"/>
        <w:rPr>
          <w:b/>
          <w:sz w:val="16"/>
          <w:szCs w:val="16"/>
        </w:rPr>
      </w:pPr>
      <w:r>
        <w:rPr>
          <w:b/>
          <w:color w:val="003263" w:themeColor="text2"/>
          <w:sz w:val="16"/>
          <w:szCs w:val="16"/>
        </w:rPr>
        <w:t>W</w:t>
      </w:r>
      <w:r w:rsidR="009B153B" w:rsidRPr="003A1219">
        <w:rPr>
          <w:b/>
          <w:color w:val="003263" w:themeColor="text2"/>
          <w:sz w:val="16"/>
          <w:szCs w:val="16"/>
        </w:rPr>
        <w:t>here 1 denotes whether the imported data will replace or add to the pipe flow based on the equivalent pipe diameter in MUSIC (usually use replace), 2 denotes the stage-discharge table and 3 denotes the settings for Height increment and decimal places.</w:t>
      </w:r>
    </w:p>
    <w:p w14:paraId="562F5A70" w14:textId="77777777" w:rsidR="003A1219" w:rsidRDefault="003A1219" w:rsidP="003A1219">
      <w:pPr>
        <w:spacing w:before="240"/>
      </w:pPr>
      <w:r>
        <w:t>Inputs for the stage-discharge curves can be calculated using standard orifice and weir equations. Weirs and orifices should use accepted equations for weir and orifice design as prescribed on the Melbourne Water website. The designer must consider the type of outlet structure and the resulting outflow behaviour and adopt the appropriate equations accordingly.</w:t>
      </w:r>
    </w:p>
    <w:p w14:paraId="71AD5E1D" w14:textId="615825EA" w:rsidR="003A1219" w:rsidRDefault="003A1219" w:rsidP="003A1219">
      <w:pPr>
        <w:spacing w:before="120"/>
      </w:pPr>
      <w:r>
        <w:t xml:space="preserve">The Custom High (Weir) Flow in must be set such that the calculated outflows replace standard flows (Note 1, </w:t>
      </w:r>
      <w:r>
        <w:fldChar w:fldCharType="begin"/>
      </w:r>
      <w:r>
        <w:instrText xml:space="preserve"> REF _Ref969309 \h </w:instrText>
      </w:r>
      <w:r>
        <w:fldChar w:fldCharType="separate"/>
      </w:r>
      <w:r w:rsidR="00E228A6">
        <w:t xml:space="preserve">Figure </w:t>
      </w:r>
      <w:r w:rsidR="00E228A6">
        <w:rPr>
          <w:noProof/>
        </w:rPr>
        <w:t>12</w:t>
      </w:r>
      <w:r>
        <w:fldChar w:fldCharType="end"/>
      </w:r>
      <w:r>
        <w:t xml:space="preserve"> and </w:t>
      </w:r>
      <w:r>
        <w:fldChar w:fldCharType="begin"/>
      </w:r>
      <w:r>
        <w:instrText xml:space="preserve"> REF _Ref969311 \h </w:instrText>
      </w:r>
      <w:r>
        <w:fldChar w:fldCharType="separate"/>
      </w:r>
      <w:r w:rsidR="00E228A6">
        <w:t xml:space="preserve">Figure </w:t>
      </w:r>
      <w:r w:rsidR="00E228A6">
        <w:rPr>
          <w:noProof/>
        </w:rPr>
        <w:t>13</w:t>
      </w:r>
      <w:r>
        <w:fldChar w:fldCharType="end"/>
      </w:r>
      <w:r>
        <w:t xml:space="preserve">). </w:t>
      </w:r>
    </w:p>
    <w:p w14:paraId="2300802A" w14:textId="08E99321" w:rsidR="003A1219" w:rsidRDefault="003A1219" w:rsidP="003A1219">
      <w:pPr>
        <w:spacing w:before="120"/>
      </w:pPr>
      <w:r>
        <w:t xml:space="preserve">The adopted relationships for low and high flows can be verified by observing the curves of the respective data and noting changes at the stage corresponding to the adopted EDD of the wetland (Note 2, </w:t>
      </w:r>
      <w:r>
        <w:fldChar w:fldCharType="begin"/>
      </w:r>
      <w:r>
        <w:instrText xml:space="preserve"> REF _Ref969309 \h </w:instrText>
      </w:r>
      <w:r>
        <w:fldChar w:fldCharType="separate"/>
      </w:r>
      <w:r w:rsidR="00E228A6">
        <w:t xml:space="preserve">Figure </w:t>
      </w:r>
      <w:r w:rsidR="00E228A6">
        <w:rPr>
          <w:noProof/>
        </w:rPr>
        <w:t>12</w:t>
      </w:r>
      <w:r>
        <w:fldChar w:fldCharType="end"/>
      </w:r>
      <w:r>
        <w:t xml:space="preserve"> and </w:t>
      </w:r>
      <w:r>
        <w:fldChar w:fldCharType="begin"/>
      </w:r>
      <w:r>
        <w:instrText xml:space="preserve"> REF _Ref969311 \h </w:instrText>
      </w:r>
      <w:r>
        <w:fldChar w:fldCharType="separate"/>
      </w:r>
      <w:r w:rsidR="00E228A6">
        <w:t xml:space="preserve">Figure </w:t>
      </w:r>
      <w:r w:rsidR="00E228A6">
        <w:rPr>
          <w:noProof/>
        </w:rPr>
        <w:t>13</w:t>
      </w:r>
      <w:r>
        <w:fldChar w:fldCharType="end"/>
      </w:r>
      <w:r>
        <w:t>).</w:t>
      </w:r>
    </w:p>
    <w:p w14:paraId="65418806" w14:textId="77777777" w:rsidR="003A1219" w:rsidRDefault="003A1219" w:rsidP="003A1219">
      <w:pPr>
        <w:spacing w:before="120"/>
      </w:pPr>
      <w:r>
        <w:t>For the high (weir) flow relationship, it is expected that the outflow will be zero up to EDD, then increase at an increasing rate as the stage increases above the EDD level.</w:t>
      </w:r>
    </w:p>
    <w:p w14:paraId="1E0C33EF" w14:textId="07E4C807" w:rsidR="003A1219" w:rsidRDefault="00530F4C" w:rsidP="003A1219">
      <w:pPr>
        <w:spacing w:before="120"/>
      </w:pPr>
      <w:r>
        <w:t xml:space="preserve">Please refer to Table 6 for </w:t>
      </w:r>
      <w:r w:rsidR="003A1219">
        <w:t>Submission requirements and assessment criteria.</w:t>
      </w:r>
    </w:p>
    <w:p w14:paraId="553124ED" w14:textId="77777777" w:rsidR="009B153B" w:rsidRDefault="009B153B" w:rsidP="009B153B"/>
    <w:p w14:paraId="618F277C" w14:textId="77777777" w:rsidR="009B153B" w:rsidRDefault="0039142D" w:rsidP="0039142D">
      <w:pPr>
        <w:pStyle w:val="Heading1"/>
        <w:framePr w:wrap="around"/>
        <w:ind w:left="709" w:right="681"/>
      </w:pPr>
      <w:bookmarkStart w:id="69" w:name="_Toc19695214"/>
      <w:bookmarkStart w:id="70" w:name="_Toc184645977"/>
      <w:r>
        <w:lastRenderedPageBreak/>
        <w:t>Appendix B: Selection of Rainfall T</w:t>
      </w:r>
      <w:r w:rsidR="009B153B">
        <w:t>emplates</w:t>
      </w:r>
      <w:bookmarkEnd w:id="69"/>
      <w:bookmarkEnd w:id="70"/>
    </w:p>
    <w:p w14:paraId="4BEAAB92" w14:textId="77777777" w:rsidR="009B153B" w:rsidRDefault="009B153B" w:rsidP="009B153B">
      <w:pPr>
        <w:spacing w:line="264" w:lineRule="auto"/>
      </w:pPr>
    </w:p>
    <w:p w14:paraId="04C4CC9F" w14:textId="73A912C8" w:rsidR="009B153B" w:rsidRDefault="009B153B" w:rsidP="009B153B">
      <w:r>
        <w:t xml:space="preserve">Two climate regions were identified within the City. A 10 year and a </w:t>
      </w:r>
      <w:r w:rsidR="00C865D0">
        <w:t>20-year</w:t>
      </w:r>
      <w:r>
        <w:t xml:space="preserve"> climate template was prepared for each of these. The rainfall periods were infilled using data from other stations to create ‘patched point’ rainfall data sets and have less accumulated and missing data than the original data sets. The method was based on that used by SILO (Jeffrey, 2001) modified for </w:t>
      </w:r>
      <w:r w:rsidR="00C865D0">
        <w:t>6-minute</w:t>
      </w:r>
      <w:r>
        <w:t xml:space="preserve"> rainfall data. The following was then considered to select the periods recommended below in </w:t>
      </w:r>
      <w:r>
        <w:fldChar w:fldCharType="begin"/>
      </w:r>
      <w:r>
        <w:instrText xml:space="preserve"> REF _Ref19285280 \h </w:instrText>
      </w:r>
      <w:r>
        <w:fldChar w:fldCharType="separate"/>
      </w:r>
      <w:r w:rsidR="00E228A6">
        <w:t xml:space="preserve">Table </w:t>
      </w:r>
      <w:r w:rsidR="00E228A6">
        <w:rPr>
          <w:noProof/>
        </w:rPr>
        <w:t>7</w:t>
      </w:r>
      <w:r>
        <w:fldChar w:fldCharType="end"/>
      </w:r>
      <w:r>
        <w:t>:</w:t>
      </w:r>
    </w:p>
    <w:p w14:paraId="0CEA954E" w14:textId="3B3C9AA3" w:rsidR="009B153B" w:rsidRDefault="009B153B" w:rsidP="00C822EA">
      <w:pPr>
        <w:pStyle w:val="ListBullet"/>
      </w:pPr>
      <w:r>
        <w:t xml:space="preserve">Rainfall quantity – Mean annual rainfall from all nearby daily rainfall </w:t>
      </w:r>
      <w:r w:rsidR="00C865D0">
        <w:t>gauges.</w:t>
      </w:r>
    </w:p>
    <w:p w14:paraId="1E6E84E4" w14:textId="77777777" w:rsidR="009B153B" w:rsidRDefault="009B153B" w:rsidP="00C822EA">
      <w:pPr>
        <w:pStyle w:val="ListBullet"/>
      </w:pPr>
      <w:r>
        <w:t>Data integrity – Percentages of missing and accumulated data</w:t>
      </w:r>
    </w:p>
    <w:p w14:paraId="10ECD11C" w14:textId="77777777" w:rsidR="009B153B" w:rsidRDefault="009B153B" w:rsidP="00C822EA">
      <w:pPr>
        <w:pStyle w:val="ListBullet"/>
      </w:pPr>
      <w:r>
        <w:t>Rainfall variation – Rainfall percentiles similar to those for reference daily gauges</w:t>
      </w:r>
    </w:p>
    <w:p w14:paraId="681ECE13" w14:textId="02233EDA" w:rsidR="009B153B" w:rsidRDefault="009B153B" w:rsidP="00C822EA">
      <w:pPr>
        <w:pStyle w:val="Caption"/>
        <w:jc w:val="center"/>
      </w:pPr>
      <w:bookmarkStart w:id="71" w:name="_Ref19285280"/>
      <w:bookmarkStart w:id="72" w:name="_Toc184646021"/>
      <w:r>
        <w:t xml:space="preserve">Table </w:t>
      </w:r>
      <w:r>
        <w:fldChar w:fldCharType="begin"/>
      </w:r>
      <w:r>
        <w:instrText xml:space="preserve"> SEQ Table \* ARABIC </w:instrText>
      </w:r>
      <w:r>
        <w:fldChar w:fldCharType="separate"/>
      </w:r>
      <w:r w:rsidR="00E228A6">
        <w:rPr>
          <w:noProof/>
        </w:rPr>
        <w:t>7</w:t>
      </w:r>
      <w:r>
        <w:rPr>
          <w:noProof/>
        </w:rPr>
        <w:fldChar w:fldCharType="end"/>
      </w:r>
      <w:bookmarkEnd w:id="71"/>
      <w:r w:rsidR="00C822EA">
        <w:rPr>
          <w:noProof/>
        </w:rPr>
        <w:t>:</w:t>
      </w:r>
      <w:r>
        <w:t xml:space="preserve"> Rainfall templates for City of Greater Geelong</w:t>
      </w:r>
      <w:r w:rsidR="003A1219">
        <w:t>.</w:t>
      </w:r>
      <w:bookmarkEnd w:id="72"/>
    </w:p>
    <w:tbl>
      <w:tblPr>
        <w:tblStyle w:val="TableGrid"/>
        <w:tblW w:w="9493" w:type="dxa"/>
        <w:tblLook w:val="0620" w:firstRow="1" w:lastRow="0" w:firstColumn="0" w:lastColumn="0" w:noHBand="1" w:noVBand="1"/>
      </w:tblPr>
      <w:tblGrid>
        <w:gridCol w:w="1087"/>
        <w:gridCol w:w="2169"/>
        <w:gridCol w:w="1134"/>
        <w:gridCol w:w="1485"/>
        <w:gridCol w:w="1317"/>
        <w:gridCol w:w="1317"/>
        <w:gridCol w:w="984"/>
      </w:tblGrid>
      <w:tr w:rsidR="009B153B" w14:paraId="7621D338" w14:textId="77777777" w:rsidTr="00C822EA">
        <w:trPr>
          <w:cnfStyle w:val="100000000000" w:firstRow="1" w:lastRow="0" w:firstColumn="0" w:lastColumn="0" w:oddVBand="0" w:evenVBand="0" w:oddHBand="0" w:evenHBand="0" w:firstRowFirstColumn="0" w:firstRowLastColumn="0" w:lastRowFirstColumn="0" w:lastRowLastColumn="0"/>
        </w:trPr>
        <w:tc>
          <w:tcPr>
            <w:tcW w:w="1087" w:type="dxa"/>
          </w:tcPr>
          <w:p w14:paraId="00D4A3DF" w14:textId="77777777" w:rsidR="009B153B" w:rsidRPr="00B954E2" w:rsidRDefault="009B153B" w:rsidP="00C822EA">
            <w:pPr>
              <w:pStyle w:val="TableText"/>
              <w:jc w:val="center"/>
              <w:rPr>
                <w:b w:val="0"/>
              </w:rPr>
            </w:pPr>
            <w:r w:rsidRPr="00B954E2">
              <w:t>Rainfall band</w:t>
            </w:r>
          </w:p>
        </w:tc>
        <w:tc>
          <w:tcPr>
            <w:tcW w:w="2169" w:type="dxa"/>
          </w:tcPr>
          <w:p w14:paraId="789F43E0" w14:textId="77777777" w:rsidR="009B153B" w:rsidRPr="00B954E2" w:rsidRDefault="009B153B" w:rsidP="00C822EA">
            <w:pPr>
              <w:pStyle w:val="TableText"/>
              <w:jc w:val="center"/>
              <w:rPr>
                <w:b w:val="0"/>
              </w:rPr>
            </w:pPr>
            <w:r w:rsidRPr="00B954E2">
              <w:t>Rainfall station</w:t>
            </w:r>
          </w:p>
        </w:tc>
        <w:tc>
          <w:tcPr>
            <w:tcW w:w="1134" w:type="dxa"/>
          </w:tcPr>
          <w:p w14:paraId="10FBEC7A" w14:textId="77777777" w:rsidR="009B153B" w:rsidRPr="00B954E2" w:rsidRDefault="009B153B" w:rsidP="00C822EA">
            <w:pPr>
              <w:pStyle w:val="TableText"/>
              <w:jc w:val="center"/>
              <w:rPr>
                <w:b w:val="0"/>
              </w:rPr>
            </w:pPr>
            <w:r w:rsidRPr="00B954E2">
              <w:t>Period</w:t>
            </w:r>
          </w:p>
        </w:tc>
        <w:tc>
          <w:tcPr>
            <w:tcW w:w="1485" w:type="dxa"/>
          </w:tcPr>
          <w:p w14:paraId="2BABCC54" w14:textId="77777777" w:rsidR="009B153B" w:rsidRPr="00B954E2" w:rsidRDefault="009B153B" w:rsidP="00C822EA">
            <w:pPr>
              <w:pStyle w:val="TableText"/>
              <w:jc w:val="center"/>
              <w:rPr>
                <w:b w:val="0"/>
              </w:rPr>
            </w:pPr>
            <w:r w:rsidRPr="00B954E2">
              <w:t>Mean annual rainfall (mm)</w:t>
            </w:r>
          </w:p>
        </w:tc>
        <w:tc>
          <w:tcPr>
            <w:tcW w:w="1317" w:type="dxa"/>
          </w:tcPr>
          <w:p w14:paraId="78CA7B58" w14:textId="77777777" w:rsidR="009B153B" w:rsidRPr="00B954E2" w:rsidRDefault="009B153B" w:rsidP="00C822EA">
            <w:pPr>
              <w:pStyle w:val="TableText"/>
              <w:jc w:val="center"/>
              <w:rPr>
                <w:b w:val="0"/>
              </w:rPr>
            </w:pPr>
            <w:r w:rsidRPr="00B954E2">
              <w:t>Evapo-transpiration</w:t>
            </w:r>
          </w:p>
        </w:tc>
        <w:tc>
          <w:tcPr>
            <w:tcW w:w="1317" w:type="dxa"/>
          </w:tcPr>
          <w:p w14:paraId="0AEACE17" w14:textId="77777777" w:rsidR="009B153B" w:rsidRPr="00B954E2" w:rsidRDefault="009B153B" w:rsidP="00C822EA">
            <w:pPr>
              <w:pStyle w:val="TableText"/>
              <w:jc w:val="center"/>
              <w:rPr>
                <w:b w:val="0"/>
              </w:rPr>
            </w:pPr>
            <w:r w:rsidRPr="00B954E2">
              <w:t>% accumulated</w:t>
            </w:r>
          </w:p>
        </w:tc>
        <w:tc>
          <w:tcPr>
            <w:tcW w:w="984" w:type="dxa"/>
          </w:tcPr>
          <w:p w14:paraId="6CF10A37" w14:textId="77777777" w:rsidR="009B153B" w:rsidRPr="00B954E2" w:rsidRDefault="009B153B" w:rsidP="00C822EA">
            <w:pPr>
              <w:pStyle w:val="TableText"/>
              <w:jc w:val="center"/>
              <w:rPr>
                <w:b w:val="0"/>
              </w:rPr>
            </w:pPr>
            <w:r w:rsidRPr="00B954E2">
              <w:t>% missing</w:t>
            </w:r>
          </w:p>
        </w:tc>
      </w:tr>
      <w:tr w:rsidR="009B153B" w14:paraId="0A4438F6" w14:textId="77777777" w:rsidTr="00C822EA">
        <w:tc>
          <w:tcPr>
            <w:tcW w:w="1087" w:type="dxa"/>
          </w:tcPr>
          <w:p w14:paraId="0AB0F346" w14:textId="77777777" w:rsidR="009B153B" w:rsidRPr="00486A38" w:rsidRDefault="009B153B" w:rsidP="00C822EA">
            <w:pPr>
              <w:pStyle w:val="TableText"/>
            </w:pPr>
            <w:r w:rsidRPr="00486A38">
              <w:t>&gt;500 mm</w:t>
            </w:r>
          </w:p>
        </w:tc>
        <w:tc>
          <w:tcPr>
            <w:tcW w:w="2169" w:type="dxa"/>
          </w:tcPr>
          <w:p w14:paraId="41717582" w14:textId="77777777" w:rsidR="009B153B" w:rsidRPr="00486A38" w:rsidRDefault="009B153B" w:rsidP="00C822EA">
            <w:pPr>
              <w:pStyle w:val="TableText"/>
            </w:pPr>
            <w:r w:rsidRPr="00486A38">
              <w:t>087133 Geelong North</w:t>
            </w:r>
          </w:p>
        </w:tc>
        <w:tc>
          <w:tcPr>
            <w:tcW w:w="1134" w:type="dxa"/>
          </w:tcPr>
          <w:p w14:paraId="38B5D518" w14:textId="77777777" w:rsidR="009B153B" w:rsidRPr="00486A38" w:rsidRDefault="009B153B" w:rsidP="00C822EA">
            <w:pPr>
              <w:pStyle w:val="TableText"/>
              <w:jc w:val="center"/>
            </w:pPr>
            <w:r w:rsidRPr="00486A38">
              <w:t>1974-1983</w:t>
            </w:r>
          </w:p>
        </w:tc>
        <w:tc>
          <w:tcPr>
            <w:tcW w:w="1485" w:type="dxa"/>
          </w:tcPr>
          <w:p w14:paraId="32BCBD88" w14:textId="77777777" w:rsidR="009B153B" w:rsidRPr="00486A38" w:rsidRDefault="009B153B" w:rsidP="00C822EA">
            <w:pPr>
              <w:pStyle w:val="TableText"/>
              <w:jc w:val="center"/>
            </w:pPr>
            <w:r w:rsidRPr="00486A38">
              <w:t>526</w:t>
            </w:r>
          </w:p>
        </w:tc>
        <w:tc>
          <w:tcPr>
            <w:tcW w:w="1317" w:type="dxa"/>
          </w:tcPr>
          <w:p w14:paraId="0DBFCCA5" w14:textId="77777777" w:rsidR="009B153B" w:rsidRDefault="009B153B" w:rsidP="00C822EA">
            <w:pPr>
              <w:pStyle w:val="TableText"/>
              <w:jc w:val="center"/>
            </w:pPr>
            <w:r>
              <w:t>1,217</w:t>
            </w:r>
          </w:p>
        </w:tc>
        <w:tc>
          <w:tcPr>
            <w:tcW w:w="1317" w:type="dxa"/>
          </w:tcPr>
          <w:p w14:paraId="121A9F4D" w14:textId="77777777" w:rsidR="009B153B" w:rsidRPr="00486A38" w:rsidRDefault="009B153B" w:rsidP="00C822EA">
            <w:pPr>
              <w:pStyle w:val="TableText"/>
              <w:jc w:val="center"/>
            </w:pPr>
            <w:r>
              <w:t>1%</w:t>
            </w:r>
          </w:p>
        </w:tc>
        <w:tc>
          <w:tcPr>
            <w:tcW w:w="984" w:type="dxa"/>
          </w:tcPr>
          <w:p w14:paraId="225DF9C8" w14:textId="77777777" w:rsidR="009B153B" w:rsidRPr="00486A38" w:rsidRDefault="009B153B" w:rsidP="00C822EA">
            <w:pPr>
              <w:pStyle w:val="TableText"/>
              <w:jc w:val="center"/>
            </w:pPr>
            <w:r>
              <w:t>1%</w:t>
            </w:r>
          </w:p>
        </w:tc>
      </w:tr>
      <w:tr w:rsidR="009B153B" w14:paraId="0D76016D" w14:textId="77777777" w:rsidTr="00C822EA">
        <w:tc>
          <w:tcPr>
            <w:tcW w:w="1087" w:type="dxa"/>
          </w:tcPr>
          <w:p w14:paraId="7649FDE5" w14:textId="77777777" w:rsidR="009B153B" w:rsidRPr="00486A38" w:rsidRDefault="009B153B" w:rsidP="00C822EA">
            <w:pPr>
              <w:pStyle w:val="TableText"/>
            </w:pPr>
            <w:r w:rsidRPr="00486A38">
              <w:t>&gt;500 mm</w:t>
            </w:r>
          </w:p>
        </w:tc>
        <w:tc>
          <w:tcPr>
            <w:tcW w:w="2169" w:type="dxa"/>
          </w:tcPr>
          <w:p w14:paraId="0F9E33CE" w14:textId="77777777" w:rsidR="009B153B" w:rsidRPr="00486A38" w:rsidRDefault="009B153B" w:rsidP="00C822EA">
            <w:pPr>
              <w:pStyle w:val="TableText"/>
            </w:pPr>
            <w:r w:rsidRPr="00486A38">
              <w:t>087133 Geelong North</w:t>
            </w:r>
          </w:p>
        </w:tc>
        <w:tc>
          <w:tcPr>
            <w:tcW w:w="1134" w:type="dxa"/>
          </w:tcPr>
          <w:p w14:paraId="433611D2" w14:textId="77777777" w:rsidR="009B153B" w:rsidRPr="00486A38" w:rsidRDefault="009B153B" w:rsidP="00C822EA">
            <w:pPr>
              <w:pStyle w:val="TableText"/>
              <w:jc w:val="center"/>
            </w:pPr>
            <w:r w:rsidRPr="00486A38">
              <w:t>1971-1990</w:t>
            </w:r>
          </w:p>
        </w:tc>
        <w:tc>
          <w:tcPr>
            <w:tcW w:w="1485" w:type="dxa"/>
          </w:tcPr>
          <w:p w14:paraId="0C5670AC" w14:textId="77777777" w:rsidR="009B153B" w:rsidRPr="00486A38" w:rsidRDefault="009B153B" w:rsidP="00C822EA">
            <w:pPr>
              <w:pStyle w:val="TableText"/>
              <w:jc w:val="center"/>
            </w:pPr>
            <w:r w:rsidRPr="00486A38">
              <w:t>531</w:t>
            </w:r>
          </w:p>
        </w:tc>
        <w:tc>
          <w:tcPr>
            <w:tcW w:w="1317" w:type="dxa"/>
          </w:tcPr>
          <w:p w14:paraId="6B2D1F9E" w14:textId="77777777" w:rsidR="009B153B" w:rsidRDefault="009B153B" w:rsidP="00C822EA">
            <w:pPr>
              <w:pStyle w:val="TableText"/>
              <w:jc w:val="center"/>
            </w:pPr>
            <w:r>
              <w:t>1,217</w:t>
            </w:r>
          </w:p>
        </w:tc>
        <w:tc>
          <w:tcPr>
            <w:tcW w:w="1317" w:type="dxa"/>
          </w:tcPr>
          <w:p w14:paraId="3D22E5E3" w14:textId="77777777" w:rsidR="009B153B" w:rsidRPr="00486A38" w:rsidRDefault="009B153B" w:rsidP="00C822EA">
            <w:pPr>
              <w:pStyle w:val="TableText"/>
              <w:jc w:val="center"/>
            </w:pPr>
            <w:r>
              <w:t>1%</w:t>
            </w:r>
          </w:p>
        </w:tc>
        <w:tc>
          <w:tcPr>
            <w:tcW w:w="984" w:type="dxa"/>
          </w:tcPr>
          <w:p w14:paraId="7EDA081B" w14:textId="77777777" w:rsidR="009B153B" w:rsidRPr="00486A38" w:rsidRDefault="009B153B" w:rsidP="00C822EA">
            <w:pPr>
              <w:pStyle w:val="TableText"/>
              <w:jc w:val="center"/>
            </w:pPr>
            <w:r>
              <w:t>1%</w:t>
            </w:r>
          </w:p>
        </w:tc>
      </w:tr>
      <w:tr w:rsidR="009B153B" w14:paraId="2F1D1040" w14:textId="77777777" w:rsidTr="00C822EA">
        <w:tc>
          <w:tcPr>
            <w:tcW w:w="1087" w:type="dxa"/>
          </w:tcPr>
          <w:p w14:paraId="032171C4" w14:textId="77777777" w:rsidR="009B153B" w:rsidRPr="00486A38" w:rsidRDefault="009B153B" w:rsidP="00C822EA">
            <w:pPr>
              <w:pStyle w:val="TableText"/>
            </w:pPr>
            <w:r w:rsidRPr="00486A38">
              <w:t>&lt;500 mm</w:t>
            </w:r>
          </w:p>
        </w:tc>
        <w:tc>
          <w:tcPr>
            <w:tcW w:w="2169" w:type="dxa"/>
          </w:tcPr>
          <w:p w14:paraId="35162466" w14:textId="77777777" w:rsidR="009B153B" w:rsidRPr="00486A38" w:rsidRDefault="009B153B" w:rsidP="00C822EA">
            <w:pPr>
              <w:pStyle w:val="TableText"/>
            </w:pPr>
            <w:r w:rsidRPr="00486A38">
              <w:t>087033 Little River</w:t>
            </w:r>
          </w:p>
        </w:tc>
        <w:tc>
          <w:tcPr>
            <w:tcW w:w="1134" w:type="dxa"/>
          </w:tcPr>
          <w:p w14:paraId="2D7F3FBD" w14:textId="77777777" w:rsidR="009B153B" w:rsidRPr="00486A38" w:rsidRDefault="009B153B" w:rsidP="00C822EA">
            <w:pPr>
              <w:pStyle w:val="TableText"/>
              <w:jc w:val="center"/>
            </w:pPr>
            <w:r w:rsidRPr="00486A38">
              <w:t>1992-2001</w:t>
            </w:r>
          </w:p>
        </w:tc>
        <w:tc>
          <w:tcPr>
            <w:tcW w:w="1485" w:type="dxa"/>
          </w:tcPr>
          <w:p w14:paraId="05BD089C" w14:textId="77777777" w:rsidR="009B153B" w:rsidRPr="00486A38" w:rsidRDefault="009B153B" w:rsidP="00C822EA">
            <w:pPr>
              <w:pStyle w:val="TableText"/>
              <w:jc w:val="center"/>
            </w:pPr>
            <w:r w:rsidRPr="00486A38">
              <w:t>485</w:t>
            </w:r>
          </w:p>
        </w:tc>
        <w:tc>
          <w:tcPr>
            <w:tcW w:w="1317" w:type="dxa"/>
          </w:tcPr>
          <w:p w14:paraId="3FFFFF12" w14:textId="77777777" w:rsidR="009B153B" w:rsidRDefault="009B153B" w:rsidP="00C822EA">
            <w:pPr>
              <w:pStyle w:val="TableText"/>
              <w:jc w:val="center"/>
            </w:pPr>
            <w:r>
              <w:t>1,217</w:t>
            </w:r>
          </w:p>
        </w:tc>
        <w:tc>
          <w:tcPr>
            <w:tcW w:w="1317" w:type="dxa"/>
          </w:tcPr>
          <w:p w14:paraId="5AE92A6E" w14:textId="77777777" w:rsidR="009B153B" w:rsidRPr="00486A38" w:rsidRDefault="009B153B" w:rsidP="00C822EA">
            <w:pPr>
              <w:pStyle w:val="TableText"/>
              <w:jc w:val="center"/>
            </w:pPr>
            <w:r>
              <w:t>5%</w:t>
            </w:r>
          </w:p>
        </w:tc>
        <w:tc>
          <w:tcPr>
            <w:tcW w:w="984" w:type="dxa"/>
          </w:tcPr>
          <w:p w14:paraId="3E0DB672" w14:textId="77777777" w:rsidR="009B153B" w:rsidRPr="00486A38" w:rsidRDefault="009B153B" w:rsidP="00C822EA">
            <w:pPr>
              <w:pStyle w:val="TableText"/>
              <w:jc w:val="center"/>
            </w:pPr>
            <w:r>
              <w:t>5%</w:t>
            </w:r>
          </w:p>
        </w:tc>
      </w:tr>
      <w:tr w:rsidR="009B153B" w14:paraId="5EE82A6B" w14:textId="77777777" w:rsidTr="00C822EA">
        <w:tc>
          <w:tcPr>
            <w:tcW w:w="1087" w:type="dxa"/>
          </w:tcPr>
          <w:p w14:paraId="0905431E" w14:textId="77777777" w:rsidR="009B153B" w:rsidRPr="00486A38" w:rsidRDefault="009B153B" w:rsidP="00C822EA">
            <w:pPr>
              <w:pStyle w:val="TableText"/>
            </w:pPr>
            <w:r w:rsidRPr="00486A38">
              <w:t>&lt;500 mm</w:t>
            </w:r>
          </w:p>
        </w:tc>
        <w:tc>
          <w:tcPr>
            <w:tcW w:w="2169" w:type="dxa"/>
          </w:tcPr>
          <w:p w14:paraId="29EC7D8A" w14:textId="77777777" w:rsidR="009B153B" w:rsidRPr="00486A38" w:rsidRDefault="009B153B" w:rsidP="00C822EA">
            <w:pPr>
              <w:pStyle w:val="TableText"/>
            </w:pPr>
            <w:r w:rsidRPr="00486A38">
              <w:t>087033 Little River</w:t>
            </w:r>
          </w:p>
        </w:tc>
        <w:tc>
          <w:tcPr>
            <w:tcW w:w="1134" w:type="dxa"/>
          </w:tcPr>
          <w:p w14:paraId="7098CDFA" w14:textId="77777777" w:rsidR="009B153B" w:rsidRPr="00486A38" w:rsidRDefault="009B153B" w:rsidP="00C822EA">
            <w:pPr>
              <w:pStyle w:val="TableText"/>
              <w:jc w:val="center"/>
            </w:pPr>
            <w:r w:rsidRPr="00486A38">
              <w:t>1989-2008</w:t>
            </w:r>
          </w:p>
        </w:tc>
        <w:tc>
          <w:tcPr>
            <w:tcW w:w="1485" w:type="dxa"/>
          </w:tcPr>
          <w:p w14:paraId="3122EE86" w14:textId="77777777" w:rsidR="009B153B" w:rsidRPr="00486A38" w:rsidRDefault="009B153B" w:rsidP="00C822EA">
            <w:pPr>
              <w:pStyle w:val="TableText"/>
              <w:jc w:val="center"/>
            </w:pPr>
            <w:r w:rsidRPr="00486A38">
              <w:t>464</w:t>
            </w:r>
          </w:p>
        </w:tc>
        <w:tc>
          <w:tcPr>
            <w:tcW w:w="1317" w:type="dxa"/>
          </w:tcPr>
          <w:p w14:paraId="24256A84" w14:textId="77777777" w:rsidR="009B153B" w:rsidRDefault="009B153B" w:rsidP="00C822EA">
            <w:pPr>
              <w:pStyle w:val="TableText"/>
              <w:jc w:val="center"/>
            </w:pPr>
            <w:r>
              <w:t>1,217</w:t>
            </w:r>
          </w:p>
        </w:tc>
        <w:tc>
          <w:tcPr>
            <w:tcW w:w="1317" w:type="dxa"/>
          </w:tcPr>
          <w:p w14:paraId="4A7409A4" w14:textId="77777777" w:rsidR="009B153B" w:rsidRPr="00486A38" w:rsidRDefault="009B153B" w:rsidP="00C822EA">
            <w:pPr>
              <w:pStyle w:val="TableText"/>
              <w:jc w:val="center"/>
            </w:pPr>
            <w:r>
              <w:t>5%</w:t>
            </w:r>
          </w:p>
        </w:tc>
        <w:tc>
          <w:tcPr>
            <w:tcW w:w="984" w:type="dxa"/>
          </w:tcPr>
          <w:p w14:paraId="60A2C18D" w14:textId="77777777" w:rsidR="009B153B" w:rsidRPr="00486A38" w:rsidRDefault="009B153B" w:rsidP="00C822EA">
            <w:pPr>
              <w:pStyle w:val="TableText"/>
              <w:jc w:val="center"/>
            </w:pPr>
            <w:r>
              <w:t>5%</w:t>
            </w:r>
          </w:p>
        </w:tc>
      </w:tr>
    </w:tbl>
    <w:p w14:paraId="0BB02FCE" w14:textId="77777777" w:rsidR="009B153B" w:rsidRDefault="009B153B" w:rsidP="00C822EA">
      <w:pPr>
        <w:jc w:val="center"/>
      </w:pPr>
    </w:p>
    <w:p w14:paraId="012698A7" w14:textId="77777777" w:rsidR="009B153B" w:rsidRDefault="009B153B" w:rsidP="009B153B">
      <w:pPr>
        <w:jc w:val="both"/>
      </w:pPr>
      <w:r w:rsidRPr="004264F7">
        <w:t xml:space="preserve">Monthly evapotranspiration values </w:t>
      </w:r>
      <w:r>
        <w:t>were</w:t>
      </w:r>
      <w:r w:rsidRPr="004264F7">
        <w:t xml:space="preserve"> </w:t>
      </w:r>
      <w:r>
        <w:t xml:space="preserve">adopted based on the templates from MUSIC for North Geelong and Little River respectively and are included in the climate templates. </w:t>
      </w:r>
    </w:p>
    <w:p w14:paraId="40BAF597" w14:textId="77777777" w:rsidR="009B153B" w:rsidRDefault="009B153B" w:rsidP="009B153B">
      <w:pPr>
        <w:spacing w:line="264" w:lineRule="auto"/>
      </w:pPr>
    </w:p>
    <w:p w14:paraId="5F6C812A" w14:textId="77777777" w:rsidR="009B153B" w:rsidRDefault="009B153B" w:rsidP="009B153B">
      <w:pPr>
        <w:spacing w:line="264" w:lineRule="auto"/>
      </w:pPr>
    </w:p>
    <w:p w14:paraId="60A40F5C" w14:textId="77777777" w:rsidR="009B153B" w:rsidRDefault="009B153B" w:rsidP="0039142D">
      <w:pPr>
        <w:pStyle w:val="Heading1"/>
        <w:framePr w:wrap="around"/>
        <w:ind w:left="709" w:right="681"/>
      </w:pPr>
      <w:bookmarkStart w:id="73" w:name="_Ref6215723"/>
      <w:bookmarkStart w:id="74" w:name="_Toc19695215"/>
      <w:bookmarkStart w:id="75" w:name="_Toc184645978"/>
      <w:r>
        <w:lastRenderedPageBreak/>
        <w:t>Appendix C - When</w:t>
      </w:r>
      <w:r w:rsidR="0039142D">
        <w:t xml:space="preserve"> is a Bioretention Asset A</w:t>
      </w:r>
      <w:r>
        <w:t>ppropriate?</w:t>
      </w:r>
      <w:bookmarkEnd w:id="73"/>
      <w:bookmarkEnd w:id="74"/>
      <w:bookmarkEnd w:id="75"/>
    </w:p>
    <w:p w14:paraId="10EE13DE" w14:textId="77777777" w:rsidR="009B153B" w:rsidRDefault="009B153B" w:rsidP="009B153B"/>
    <w:p w14:paraId="187CDE27" w14:textId="3E1E2980" w:rsidR="009B153B" w:rsidRPr="00A105FE" w:rsidRDefault="009B153B" w:rsidP="009B153B">
      <w:r>
        <w:t xml:space="preserve">The following tables </w:t>
      </w:r>
      <w:r w:rsidR="00C822EA">
        <w:t>(</w:t>
      </w:r>
      <w:r w:rsidR="00C822EA">
        <w:fldChar w:fldCharType="begin"/>
      </w:r>
      <w:r w:rsidR="00C822EA">
        <w:instrText xml:space="preserve"> REF _Ref6215706 \h </w:instrText>
      </w:r>
      <w:r w:rsidR="00C822EA">
        <w:fldChar w:fldCharType="separate"/>
      </w:r>
      <w:r w:rsidR="00E228A6">
        <w:t xml:space="preserve">Table </w:t>
      </w:r>
      <w:r w:rsidR="00E228A6">
        <w:rPr>
          <w:noProof/>
        </w:rPr>
        <w:t>8</w:t>
      </w:r>
      <w:r w:rsidR="00C822EA">
        <w:fldChar w:fldCharType="end"/>
      </w:r>
      <w:r w:rsidR="00C822EA">
        <w:t xml:space="preserve"> and </w:t>
      </w:r>
      <w:r w:rsidR="00C822EA">
        <w:fldChar w:fldCharType="begin"/>
      </w:r>
      <w:r w:rsidR="00C822EA">
        <w:instrText xml:space="preserve"> REF _Ref24362837 \h </w:instrText>
      </w:r>
      <w:r w:rsidR="00C822EA">
        <w:fldChar w:fldCharType="separate"/>
      </w:r>
      <w:r w:rsidR="00E228A6">
        <w:t xml:space="preserve">Table </w:t>
      </w:r>
      <w:r w:rsidR="00E228A6">
        <w:rPr>
          <w:noProof/>
        </w:rPr>
        <w:t>9</w:t>
      </w:r>
      <w:r w:rsidR="00C822EA">
        <w:fldChar w:fldCharType="end"/>
      </w:r>
      <w:r w:rsidR="00C822EA">
        <w:t xml:space="preserve">) </w:t>
      </w:r>
      <w:r>
        <w:t xml:space="preserve">provide a summary of decision criteria to decide when a bioretention asset may or may not be appropriate for a given site. This table has been adapted from the Bioretention System Guidelines (Melbourne Water, </w:t>
      </w:r>
      <w:r w:rsidR="00382098">
        <w:t>2020).</w:t>
      </w:r>
    </w:p>
    <w:p w14:paraId="096341FB" w14:textId="2B826574" w:rsidR="009B153B" w:rsidRDefault="009B153B" w:rsidP="00C822EA">
      <w:pPr>
        <w:pStyle w:val="Caption"/>
        <w:jc w:val="center"/>
      </w:pPr>
      <w:bookmarkStart w:id="76" w:name="_Ref6215706"/>
      <w:bookmarkStart w:id="77" w:name="_Toc184646022"/>
      <w:r>
        <w:t xml:space="preserve">Table </w:t>
      </w:r>
      <w:r>
        <w:fldChar w:fldCharType="begin"/>
      </w:r>
      <w:r>
        <w:instrText xml:space="preserve"> SEQ Table \* ARABIC </w:instrText>
      </w:r>
      <w:r>
        <w:fldChar w:fldCharType="separate"/>
      </w:r>
      <w:r w:rsidR="00E228A6">
        <w:rPr>
          <w:noProof/>
        </w:rPr>
        <w:t>8</w:t>
      </w:r>
      <w:r>
        <w:rPr>
          <w:noProof/>
        </w:rPr>
        <w:fldChar w:fldCharType="end"/>
      </w:r>
      <w:bookmarkEnd w:id="76"/>
      <w:r w:rsidR="00C822EA">
        <w:rPr>
          <w:noProof/>
        </w:rPr>
        <w:t>:</w:t>
      </w:r>
      <w:r>
        <w:t xml:space="preserve"> Criteria for when to use a bioretention</w:t>
      </w:r>
      <w:r w:rsidR="003A1219">
        <w:t>.</w:t>
      </w:r>
      <w:bookmarkEnd w:id="77"/>
    </w:p>
    <w:tbl>
      <w:tblPr>
        <w:tblStyle w:val="TableGrid"/>
        <w:tblW w:w="8789" w:type="dxa"/>
        <w:tblLook w:val="0620" w:firstRow="1" w:lastRow="0" w:firstColumn="0" w:lastColumn="0" w:noHBand="1" w:noVBand="1"/>
      </w:tblPr>
      <w:tblGrid>
        <w:gridCol w:w="2410"/>
        <w:gridCol w:w="3969"/>
        <w:gridCol w:w="2410"/>
      </w:tblGrid>
      <w:tr w:rsidR="009B153B" w:rsidRPr="001C4018" w14:paraId="57609FD8" w14:textId="77777777" w:rsidTr="00C822EA">
        <w:trPr>
          <w:cnfStyle w:val="100000000000" w:firstRow="1" w:lastRow="0" w:firstColumn="0" w:lastColumn="0" w:oddVBand="0" w:evenVBand="0" w:oddHBand="0" w:evenHBand="0" w:firstRowFirstColumn="0" w:firstRowLastColumn="0" w:lastRowFirstColumn="0" w:lastRowLastColumn="0"/>
        </w:trPr>
        <w:tc>
          <w:tcPr>
            <w:tcW w:w="2410" w:type="dxa"/>
          </w:tcPr>
          <w:p w14:paraId="3FE6FC6C" w14:textId="77777777" w:rsidR="009B153B" w:rsidRPr="001C4018" w:rsidRDefault="009B153B" w:rsidP="00C822EA">
            <w:pPr>
              <w:pStyle w:val="TableText"/>
            </w:pPr>
            <w:r w:rsidRPr="001C4018">
              <w:t xml:space="preserve">Yes </w:t>
            </w:r>
            <w:r w:rsidRPr="001C4018">
              <w:sym w:font="Wingdings" w:char="F043"/>
            </w:r>
          </w:p>
        </w:tc>
        <w:tc>
          <w:tcPr>
            <w:tcW w:w="3969" w:type="dxa"/>
          </w:tcPr>
          <w:p w14:paraId="1B6E8497" w14:textId="77777777" w:rsidR="009B153B" w:rsidRPr="001C4018" w:rsidRDefault="009B153B" w:rsidP="00C822EA">
            <w:pPr>
              <w:pStyle w:val="TableText"/>
            </w:pPr>
            <w:r w:rsidRPr="001C4018">
              <w:t>Why</w:t>
            </w:r>
          </w:p>
        </w:tc>
        <w:tc>
          <w:tcPr>
            <w:tcW w:w="2410" w:type="dxa"/>
          </w:tcPr>
          <w:p w14:paraId="79E16806" w14:textId="77777777" w:rsidR="009B153B" w:rsidRPr="001C4018" w:rsidRDefault="009B153B" w:rsidP="00C822EA">
            <w:pPr>
              <w:pStyle w:val="TableText"/>
            </w:pPr>
            <w:r w:rsidRPr="001C4018">
              <w:t>Notes</w:t>
            </w:r>
          </w:p>
        </w:tc>
      </w:tr>
      <w:tr w:rsidR="009B153B" w:rsidRPr="001C4018" w14:paraId="07153554" w14:textId="77777777" w:rsidTr="00C822EA">
        <w:tc>
          <w:tcPr>
            <w:tcW w:w="2410" w:type="dxa"/>
          </w:tcPr>
          <w:p w14:paraId="30E11070" w14:textId="77777777" w:rsidR="009B153B" w:rsidRPr="001C4018" w:rsidRDefault="009B153B" w:rsidP="00C822EA">
            <w:pPr>
              <w:pStyle w:val="TableText"/>
            </w:pPr>
            <w:r w:rsidRPr="001C4018">
              <w:t>Terrain won’t support wetlands</w:t>
            </w:r>
          </w:p>
        </w:tc>
        <w:tc>
          <w:tcPr>
            <w:tcW w:w="3969" w:type="dxa"/>
          </w:tcPr>
          <w:p w14:paraId="454072E7" w14:textId="77777777" w:rsidR="009B153B" w:rsidRPr="001C4018" w:rsidRDefault="009B153B" w:rsidP="00C822EA">
            <w:pPr>
              <w:pStyle w:val="TableText"/>
            </w:pPr>
            <w:r w:rsidRPr="001C4018">
              <w:t>Where the terrain can’t reasonably support a wetland’s shape and size without excessive land-take resulting from batters</w:t>
            </w:r>
          </w:p>
        </w:tc>
        <w:tc>
          <w:tcPr>
            <w:tcW w:w="2410" w:type="dxa"/>
          </w:tcPr>
          <w:p w14:paraId="5484D611" w14:textId="77777777" w:rsidR="009B153B" w:rsidRPr="001C4018" w:rsidRDefault="009B153B" w:rsidP="00C822EA">
            <w:pPr>
              <w:pStyle w:val="TableText"/>
            </w:pPr>
          </w:p>
        </w:tc>
      </w:tr>
      <w:tr w:rsidR="009B153B" w:rsidRPr="001C4018" w14:paraId="47B6A847" w14:textId="77777777" w:rsidTr="00C822EA">
        <w:tc>
          <w:tcPr>
            <w:tcW w:w="2410" w:type="dxa"/>
          </w:tcPr>
          <w:p w14:paraId="53AB8140" w14:textId="77777777" w:rsidR="009B153B" w:rsidRPr="001C4018" w:rsidRDefault="009B153B" w:rsidP="00C822EA">
            <w:pPr>
              <w:pStyle w:val="TableText"/>
            </w:pPr>
            <w:r w:rsidRPr="001C4018">
              <w:t>Footprint needs to be minimised</w:t>
            </w:r>
          </w:p>
        </w:tc>
        <w:tc>
          <w:tcPr>
            <w:tcW w:w="3969" w:type="dxa"/>
          </w:tcPr>
          <w:p w14:paraId="758A54C1" w14:textId="77777777" w:rsidR="009B153B" w:rsidRPr="001C4018" w:rsidRDefault="009B153B" w:rsidP="00C822EA">
            <w:pPr>
              <w:pStyle w:val="TableText"/>
            </w:pPr>
            <w:r w:rsidRPr="001C4018">
              <w:t>Where a wetland cannot be co-located within land set aside for other public purposes and the authorities face difficulty with the resulting land-take.</w:t>
            </w:r>
          </w:p>
        </w:tc>
        <w:tc>
          <w:tcPr>
            <w:tcW w:w="2410" w:type="dxa"/>
          </w:tcPr>
          <w:p w14:paraId="56E26E84" w14:textId="77777777" w:rsidR="009B153B" w:rsidRPr="001C4018" w:rsidRDefault="009B153B" w:rsidP="00C822EA">
            <w:pPr>
              <w:pStyle w:val="TableText"/>
            </w:pPr>
            <w:r w:rsidRPr="001C4018">
              <w:t>E.g. where small scale means that land acquisition has a disproportionately large impact on costs.</w:t>
            </w:r>
          </w:p>
        </w:tc>
      </w:tr>
    </w:tbl>
    <w:p w14:paraId="45627BF7" w14:textId="77777777" w:rsidR="009B153B" w:rsidRDefault="009B153B" w:rsidP="009B153B">
      <w:pPr>
        <w:rPr>
          <w:sz w:val="18"/>
          <w:szCs w:val="18"/>
        </w:rPr>
      </w:pPr>
      <w:r>
        <w:rPr>
          <w:sz w:val="18"/>
          <w:szCs w:val="18"/>
        </w:rPr>
        <w:br w:type="page"/>
      </w:r>
    </w:p>
    <w:p w14:paraId="6E3A9A34" w14:textId="0C6644AD" w:rsidR="009B153B" w:rsidRDefault="009B153B" w:rsidP="00382152">
      <w:pPr>
        <w:pStyle w:val="Caption"/>
        <w:jc w:val="center"/>
      </w:pPr>
      <w:bookmarkStart w:id="78" w:name="_Ref24362837"/>
      <w:bookmarkStart w:id="79" w:name="_Toc184646023"/>
      <w:r>
        <w:lastRenderedPageBreak/>
        <w:t xml:space="preserve">Table </w:t>
      </w:r>
      <w:r>
        <w:fldChar w:fldCharType="begin"/>
      </w:r>
      <w:r>
        <w:instrText xml:space="preserve"> SEQ Table \* ARABIC </w:instrText>
      </w:r>
      <w:r>
        <w:fldChar w:fldCharType="separate"/>
      </w:r>
      <w:r w:rsidR="00E228A6">
        <w:rPr>
          <w:noProof/>
        </w:rPr>
        <w:t>9</w:t>
      </w:r>
      <w:r>
        <w:rPr>
          <w:noProof/>
        </w:rPr>
        <w:fldChar w:fldCharType="end"/>
      </w:r>
      <w:bookmarkEnd w:id="78"/>
      <w:r w:rsidR="00382152">
        <w:rPr>
          <w:noProof/>
        </w:rPr>
        <w:t>:</w:t>
      </w:r>
      <w:r>
        <w:t xml:space="preserve"> Criteria for when not to use a bioretention</w:t>
      </w:r>
      <w:r w:rsidR="003A1219">
        <w:t>.</w:t>
      </w:r>
      <w:bookmarkEnd w:id="79"/>
    </w:p>
    <w:tbl>
      <w:tblPr>
        <w:tblStyle w:val="TableGrid"/>
        <w:tblW w:w="8789" w:type="dxa"/>
        <w:tblLook w:val="0620" w:firstRow="1" w:lastRow="0" w:firstColumn="0" w:lastColumn="0" w:noHBand="1" w:noVBand="1"/>
      </w:tblPr>
      <w:tblGrid>
        <w:gridCol w:w="2552"/>
        <w:gridCol w:w="3685"/>
        <w:gridCol w:w="2552"/>
      </w:tblGrid>
      <w:tr w:rsidR="009B153B" w:rsidRPr="001C4018" w14:paraId="6E48ED0C" w14:textId="77777777" w:rsidTr="00FD3222">
        <w:trPr>
          <w:cnfStyle w:val="100000000000" w:firstRow="1" w:lastRow="0" w:firstColumn="0" w:lastColumn="0" w:oddVBand="0" w:evenVBand="0" w:oddHBand="0" w:evenHBand="0" w:firstRowFirstColumn="0" w:firstRowLastColumn="0" w:lastRowFirstColumn="0" w:lastRowLastColumn="0"/>
        </w:trPr>
        <w:tc>
          <w:tcPr>
            <w:tcW w:w="2552" w:type="dxa"/>
          </w:tcPr>
          <w:p w14:paraId="593AB72C" w14:textId="77777777" w:rsidR="009B153B" w:rsidRPr="001C4018" w:rsidRDefault="009B153B" w:rsidP="00382152">
            <w:pPr>
              <w:pStyle w:val="TableText"/>
            </w:pPr>
            <w:r w:rsidRPr="001C4018">
              <w:t xml:space="preserve">No </w:t>
            </w:r>
            <w:r w:rsidRPr="001C4018">
              <w:sym w:font="Wingdings" w:char="F044"/>
            </w:r>
          </w:p>
        </w:tc>
        <w:tc>
          <w:tcPr>
            <w:tcW w:w="3685" w:type="dxa"/>
          </w:tcPr>
          <w:p w14:paraId="3C91FD9C" w14:textId="77777777" w:rsidR="009B153B" w:rsidRPr="001C4018" w:rsidRDefault="009B153B" w:rsidP="00382152">
            <w:pPr>
              <w:pStyle w:val="TableText"/>
            </w:pPr>
            <w:r w:rsidRPr="001C4018">
              <w:t>Why</w:t>
            </w:r>
          </w:p>
        </w:tc>
        <w:tc>
          <w:tcPr>
            <w:tcW w:w="2552" w:type="dxa"/>
          </w:tcPr>
          <w:p w14:paraId="47BB0F5B" w14:textId="77777777" w:rsidR="009B153B" w:rsidRPr="001C4018" w:rsidRDefault="009B153B" w:rsidP="00382152">
            <w:pPr>
              <w:pStyle w:val="TableText"/>
            </w:pPr>
            <w:r w:rsidRPr="001C4018">
              <w:t>Potential mitigating design response</w:t>
            </w:r>
          </w:p>
        </w:tc>
      </w:tr>
      <w:tr w:rsidR="009B153B" w:rsidRPr="001C4018" w14:paraId="11AE3F64" w14:textId="77777777" w:rsidTr="00FD3222">
        <w:tc>
          <w:tcPr>
            <w:tcW w:w="2552" w:type="dxa"/>
          </w:tcPr>
          <w:p w14:paraId="7EBAE123" w14:textId="77777777" w:rsidR="009B153B" w:rsidRPr="001C4018" w:rsidRDefault="009B153B" w:rsidP="00382152">
            <w:pPr>
              <w:pStyle w:val="TableText"/>
            </w:pPr>
            <w:r w:rsidRPr="001C4018">
              <w:t>Too Wet.</w:t>
            </w:r>
          </w:p>
          <w:p w14:paraId="625BFE9D" w14:textId="77777777" w:rsidR="009B153B" w:rsidRPr="001C4018" w:rsidRDefault="009B153B" w:rsidP="00382152">
            <w:pPr>
              <w:pStyle w:val="TableText"/>
            </w:pPr>
            <w:r w:rsidRPr="001C4018">
              <w:t>Sites that are constantly wet or receive continuous or very frequent flows. This includes sites:</w:t>
            </w:r>
          </w:p>
          <w:p w14:paraId="7E43B375" w14:textId="77777777" w:rsidR="009B153B" w:rsidRPr="000C04EA" w:rsidRDefault="009B153B" w:rsidP="00382152">
            <w:pPr>
              <w:pStyle w:val="TableTextBullet1"/>
            </w:pPr>
            <w:r w:rsidRPr="000C04EA">
              <w:t>In retarding basins</w:t>
            </w:r>
          </w:p>
          <w:p w14:paraId="06489B53" w14:textId="77777777" w:rsidR="009B153B" w:rsidRPr="000C04EA" w:rsidRDefault="009B153B" w:rsidP="00382152">
            <w:pPr>
              <w:pStyle w:val="TableTextBullet1"/>
            </w:pPr>
            <w:r>
              <w:t>In f</w:t>
            </w:r>
            <w:r w:rsidRPr="000C04EA">
              <w:t>low paths</w:t>
            </w:r>
          </w:p>
          <w:p w14:paraId="2A7B7088" w14:textId="77777777" w:rsidR="009B153B" w:rsidRPr="000C04EA" w:rsidRDefault="009B153B" w:rsidP="00382152">
            <w:pPr>
              <w:pStyle w:val="TableTextBullet1"/>
            </w:pPr>
            <w:r w:rsidRPr="000C04EA">
              <w:t>Downstream of wetlands</w:t>
            </w:r>
          </w:p>
          <w:p w14:paraId="5C98DFC8" w14:textId="77777777" w:rsidR="009B153B" w:rsidRPr="000C04EA" w:rsidRDefault="009B153B" w:rsidP="00382152">
            <w:pPr>
              <w:pStyle w:val="TableTextBullet1"/>
            </w:pPr>
            <w:r w:rsidRPr="000C04EA">
              <w:t>Catchments &gt;10</w:t>
            </w:r>
            <w:r>
              <w:t xml:space="preserve"> </w:t>
            </w:r>
            <w:r w:rsidRPr="000C04EA">
              <w:t>ha</w:t>
            </w:r>
          </w:p>
          <w:p w14:paraId="6FCDD558" w14:textId="77777777" w:rsidR="009B153B" w:rsidRPr="000C04EA" w:rsidRDefault="009B153B" w:rsidP="00382152">
            <w:pPr>
              <w:pStyle w:val="TableTextBullet1"/>
            </w:pPr>
            <w:r w:rsidRPr="000C04EA">
              <w:t>On floodplains*</w:t>
            </w:r>
          </w:p>
          <w:p w14:paraId="467E7B11" w14:textId="77777777" w:rsidR="009B153B" w:rsidRPr="001C4018" w:rsidRDefault="009B153B" w:rsidP="00382152">
            <w:pPr>
              <w:pStyle w:val="TableTextBullet1"/>
            </w:pPr>
            <w:r w:rsidRPr="000C04EA">
              <w:t>Areas with too much shade (&lt;8 hours sunlight per day)</w:t>
            </w:r>
          </w:p>
        </w:tc>
        <w:tc>
          <w:tcPr>
            <w:tcW w:w="3685" w:type="dxa"/>
          </w:tcPr>
          <w:p w14:paraId="7D441CCE" w14:textId="77777777" w:rsidR="009B153B" w:rsidRPr="001C4018" w:rsidRDefault="009B153B" w:rsidP="00382152">
            <w:pPr>
              <w:pStyle w:val="TableText"/>
            </w:pPr>
            <w:r w:rsidRPr="001C4018">
              <w:t xml:space="preserve">Moss or algae can form thick surface biofilms in continuously wetted or shaded systems, which reduce the rate of infiltration into the filter media and cause clogging. </w:t>
            </w:r>
          </w:p>
          <w:p w14:paraId="3911FEAD" w14:textId="77777777" w:rsidR="009B153B" w:rsidRPr="001C4018" w:rsidRDefault="009B153B" w:rsidP="00382152">
            <w:pPr>
              <w:pStyle w:val="TableText"/>
            </w:pPr>
            <w:r w:rsidRPr="001C4018">
              <w:t>Assets fully connected to larger catchments or downstream of regional wetlands are at risk of excessive wetting due being exposed to almost continuous inflows.</w:t>
            </w:r>
          </w:p>
          <w:p w14:paraId="026405CC" w14:textId="77777777" w:rsidR="009B153B" w:rsidRPr="001C4018" w:rsidRDefault="009B153B" w:rsidP="00382152">
            <w:pPr>
              <w:pStyle w:val="TableText"/>
            </w:pPr>
            <w:r w:rsidRPr="001C4018">
              <w:t xml:space="preserve">Regular wetting and drying of a bioretention system </w:t>
            </w:r>
            <w:r>
              <w:t>is</w:t>
            </w:r>
            <w:r w:rsidRPr="001C4018">
              <w:t xml:space="preserve"> necessary</w:t>
            </w:r>
            <w:r>
              <w:t>.</w:t>
            </w:r>
            <w:r w:rsidRPr="001C4018">
              <w:t xml:space="preserve"> </w:t>
            </w:r>
            <w:r>
              <w:t>C</w:t>
            </w:r>
            <w:r w:rsidRPr="001C4018">
              <w:t>ontinuous inflows</w:t>
            </w:r>
            <w:r>
              <w:t>,</w:t>
            </w:r>
            <w:r w:rsidRPr="001C4018">
              <w:t xml:space="preserve"> damp flow paths and floodplains may inhibit this. They are also more likely to back-water drainage layers. </w:t>
            </w:r>
          </w:p>
        </w:tc>
        <w:tc>
          <w:tcPr>
            <w:tcW w:w="2552" w:type="dxa"/>
          </w:tcPr>
          <w:p w14:paraId="523F1982" w14:textId="77777777" w:rsidR="009B153B" w:rsidRDefault="009B153B" w:rsidP="00382152">
            <w:pPr>
              <w:pStyle w:val="TableText"/>
            </w:pPr>
            <w:r w:rsidRPr="001C4018">
              <w:t xml:space="preserve">Low flow diversions may reduce problems caused by continuous inflow but may also compromise overall pollutant reduction performance. </w:t>
            </w:r>
          </w:p>
          <w:p w14:paraId="59C2651F" w14:textId="77777777" w:rsidR="009B153B" w:rsidRPr="001C4018" w:rsidRDefault="009B153B" w:rsidP="00382152">
            <w:pPr>
              <w:pStyle w:val="TableText"/>
            </w:pPr>
            <w:r>
              <w:t>*Floodplain sites may be considered as long as it can be shown the site will not experience frequent interflows (shallow groundwater) and has free drainage into the waterway.</w:t>
            </w:r>
          </w:p>
        </w:tc>
      </w:tr>
      <w:tr w:rsidR="009B153B" w:rsidRPr="001C4018" w14:paraId="77A867A4" w14:textId="77777777" w:rsidTr="00FD3222">
        <w:tc>
          <w:tcPr>
            <w:tcW w:w="2552" w:type="dxa"/>
          </w:tcPr>
          <w:p w14:paraId="64C28CBC" w14:textId="77777777" w:rsidR="009B153B" w:rsidRPr="001C4018" w:rsidRDefault="009B153B" w:rsidP="00382152">
            <w:pPr>
              <w:pStyle w:val="TableText"/>
            </w:pPr>
            <w:r w:rsidRPr="001C4018">
              <w:t>Too dry.</w:t>
            </w:r>
          </w:p>
          <w:p w14:paraId="169DE4FC" w14:textId="77777777" w:rsidR="009B153B" w:rsidRDefault="009B153B" w:rsidP="00382152">
            <w:pPr>
              <w:pStyle w:val="TableText"/>
            </w:pPr>
            <w:r w:rsidRPr="001C4018">
              <w:t>Downstream of oversized sediment ponds.</w:t>
            </w:r>
          </w:p>
          <w:p w14:paraId="42666579" w14:textId="77777777" w:rsidR="00382152" w:rsidRDefault="00382152" w:rsidP="00382152">
            <w:pPr>
              <w:pStyle w:val="TableText"/>
            </w:pPr>
          </w:p>
          <w:p w14:paraId="6D4FA932" w14:textId="77777777" w:rsidR="009B153B" w:rsidRPr="001C4018" w:rsidRDefault="009B153B" w:rsidP="00382152">
            <w:pPr>
              <w:pStyle w:val="TableText"/>
            </w:pPr>
            <w:r>
              <w:t>Bioretention overflowing in series.</w:t>
            </w:r>
          </w:p>
        </w:tc>
        <w:tc>
          <w:tcPr>
            <w:tcW w:w="3685" w:type="dxa"/>
          </w:tcPr>
          <w:p w14:paraId="241AE5FE" w14:textId="77777777" w:rsidR="009B153B" w:rsidRDefault="009B153B" w:rsidP="00382152">
            <w:pPr>
              <w:pStyle w:val="TableText"/>
            </w:pPr>
            <w:r w:rsidRPr="001C4018">
              <w:t>Upstream sediment ponds must not be oversized for their catchment as these may reduce the frequency of flows into the bioretention and lead to long dry periods with inadequate soil moisture to sustain planting.</w:t>
            </w:r>
          </w:p>
          <w:p w14:paraId="36F5FA72" w14:textId="77777777" w:rsidR="009B153B" w:rsidRPr="001C4018" w:rsidRDefault="009B153B" w:rsidP="00382152">
            <w:pPr>
              <w:pStyle w:val="TableText"/>
            </w:pPr>
            <w:r>
              <w:t>A bioretention downstream of another bioretention asset receiving only overflows may experience long dry periods between inflow events.</w:t>
            </w:r>
          </w:p>
        </w:tc>
        <w:tc>
          <w:tcPr>
            <w:tcW w:w="2552" w:type="dxa"/>
          </w:tcPr>
          <w:p w14:paraId="1595B199" w14:textId="77777777" w:rsidR="009B153B" w:rsidRDefault="009B153B" w:rsidP="00382152">
            <w:pPr>
              <w:pStyle w:val="TableText"/>
            </w:pPr>
            <w:r>
              <w:t>Over-sized sediment ponds are not acceptable under any circumstances.</w:t>
            </w:r>
          </w:p>
          <w:p w14:paraId="2ACAE751" w14:textId="77777777" w:rsidR="009B153B" w:rsidRDefault="009B153B" w:rsidP="00382152">
            <w:pPr>
              <w:pStyle w:val="TableText"/>
            </w:pPr>
            <w:r>
              <w:t>Bioretention assets in series should each have an independent impervious catchment. to ensure each bioretention relatively frequent inflows.</w:t>
            </w:r>
          </w:p>
          <w:p w14:paraId="4518D2C3" w14:textId="77777777" w:rsidR="009B153B" w:rsidRDefault="009B153B" w:rsidP="00382152">
            <w:pPr>
              <w:pStyle w:val="TableText"/>
            </w:pPr>
            <w:r w:rsidRPr="001C4018">
              <w:t xml:space="preserve">Modelling to track soil moisture patterns (durations, spells) may be needed to verify design in uncertain circumstances. </w:t>
            </w:r>
          </w:p>
          <w:p w14:paraId="645A4F7D" w14:textId="77777777" w:rsidR="009B153B" w:rsidRPr="001C4018" w:rsidRDefault="009B153B" w:rsidP="00382152">
            <w:pPr>
              <w:pStyle w:val="TableText"/>
            </w:pPr>
            <w:r>
              <w:t>The media should be specified to increase soil moisture retention capacity, a submerged zone of at least 450 mm adopted and more drought resilient plants chosen for any assets with overflows in series.</w:t>
            </w:r>
          </w:p>
        </w:tc>
      </w:tr>
      <w:tr w:rsidR="009B153B" w:rsidRPr="001C4018" w14:paraId="18CD6EBC" w14:textId="77777777" w:rsidTr="00FD3222">
        <w:tc>
          <w:tcPr>
            <w:tcW w:w="2552" w:type="dxa"/>
          </w:tcPr>
          <w:p w14:paraId="129CFABD" w14:textId="77777777" w:rsidR="009B153B" w:rsidRPr="001C4018" w:rsidRDefault="009B153B" w:rsidP="00382152">
            <w:pPr>
              <w:pStyle w:val="TableText"/>
            </w:pPr>
            <w:r w:rsidRPr="001C4018">
              <w:t xml:space="preserve">Site without appropriately sized pre-treatment measures including gross </w:t>
            </w:r>
            <w:r w:rsidRPr="001C4018">
              <w:lastRenderedPageBreak/>
              <w:t>pollutant</w:t>
            </w:r>
            <w:r>
              <w:t xml:space="preserve"> traps (GPTs)</w:t>
            </w:r>
            <w:r w:rsidRPr="001C4018">
              <w:t xml:space="preserve"> and sediment traps</w:t>
            </w:r>
            <w:r w:rsidR="00382152">
              <w:t>.</w:t>
            </w:r>
          </w:p>
        </w:tc>
        <w:tc>
          <w:tcPr>
            <w:tcW w:w="3685" w:type="dxa"/>
          </w:tcPr>
          <w:p w14:paraId="2B4BD763" w14:textId="77777777" w:rsidR="009B153B" w:rsidRPr="001C4018" w:rsidRDefault="009B153B" w:rsidP="00382152">
            <w:pPr>
              <w:pStyle w:val="TableText"/>
            </w:pPr>
            <w:r w:rsidRPr="001C4018">
              <w:lastRenderedPageBreak/>
              <w:t>Correct treatment train sequencing is important.</w:t>
            </w:r>
          </w:p>
          <w:p w14:paraId="1792C9AF" w14:textId="77777777" w:rsidR="009B153B" w:rsidRPr="001C4018" w:rsidRDefault="009B153B" w:rsidP="00382152">
            <w:pPr>
              <w:pStyle w:val="TableText"/>
            </w:pPr>
            <w:r>
              <w:t>GPTs</w:t>
            </w:r>
            <w:r w:rsidRPr="001C4018">
              <w:t xml:space="preserve"> are required to ensure that litter and debris does not smother vegetation or </w:t>
            </w:r>
            <w:r w:rsidRPr="001C4018">
              <w:lastRenderedPageBreak/>
              <w:t xml:space="preserve">increase the difficulty and cost of litter removal. </w:t>
            </w:r>
          </w:p>
          <w:p w14:paraId="754FF472" w14:textId="77777777" w:rsidR="009B153B" w:rsidRPr="001C4018" w:rsidRDefault="009B153B" w:rsidP="00382152">
            <w:pPr>
              <w:pStyle w:val="TableText"/>
            </w:pPr>
            <w:r>
              <w:t>GPTs</w:t>
            </w:r>
            <w:r w:rsidRPr="001C4018">
              <w:t xml:space="preserve"> or sediment ponds/traps are required to ensure coarse sediment does not block the surface of the filter media. These must have adequate storage capacity with respect to expected sediment loads and clean-out frequency.</w:t>
            </w:r>
          </w:p>
        </w:tc>
        <w:tc>
          <w:tcPr>
            <w:tcW w:w="2552" w:type="dxa"/>
          </w:tcPr>
          <w:p w14:paraId="1761AA42" w14:textId="77777777" w:rsidR="009B153B" w:rsidRPr="001C4018" w:rsidRDefault="009B153B" w:rsidP="00382152">
            <w:pPr>
              <w:pStyle w:val="TableText"/>
            </w:pPr>
            <w:r w:rsidRPr="001C4018">
              <w:lastRenderedPageBreak/>
              <w:t xml:space="preserve">Requirements for upstream primary treatment are catchment specific. Cleaner catchments may need only </w:t>
            </w:r>
            <w:r w:rsidRPr="001C4018">
              <w:lastRenderedPageBreak/>
              <w:t>smaller-scale primary treatment elements</w:t>
            </w:r>
            <w:r>
              <w:t>.</w:t>
            </w:r>
          </w:p>
        </w:tc>
      </w:tr>
      <w:tr w:rsidR="009B153B" w:rsidRPr="001C4018" w14:paraId="21E6EF33" w14:textId="77777777" w:rsidTr="00FD3222">
        <w:tc>
          <w:tcPr>
            <w:tcW w:w="2552" w:type="dxa"/>
          </w:tcPr>
          <w:p w14:paraId="1C1DE416" w14:textId="77777777" w:rsidR="009B153B" w:rsidRPr="001C4018" w:rsidRDefault="009B153B" w:rsidP="00382152">
            <w:pPr>
              <w:pStyle w:val="TableText"/>
            </w:pPr>
            <w:r w:rsidRPr="001C4018">
              <w:lastRenderedPageBreak/>
              <w:t>Sites subject to velocities &gt;1m/s</w:t>
            </w:r>
            <w:r>
              <w:t xml:space="preserve"> for the 1% AEP (1 in 100 year ARI)</w:t>
            </w:r>
            <w:r w:rsidR="00382152">
              <w:t>.</w:t>
            </w:r>
          </w:p>
        </w:tc>
        <w:tc>
          <w:tcPr>
            <w:tcW w:w="3685" w:type="dxa"/>
          </w:tcPr>
          <w:p w14:paraId="41C3E5E7" w14:textId="77777777" w:rsidR="009B153B" w:rsidRPr="001C4018" w:rsidRDefault="009B153B" w:rsidP="00382152">
            <w:pPr>
              <w:pStyle w:val="TableText"/>
            </w:pPr>
            <w:r w:rsidRPr="001C4018">
              <w:t>Velocities &gt;1m/s are likely to scour the surface of bioretention systems and damage vegetation.</w:t>
            </w:r>
          </w:p>
        </w:tc>
        <w:tc>
          <w:tcPr>
            <w:tcW w:w="2552" w:type="dxa"/>
          </w:tcPr>
          <w:p w14:paraId="13579474" w14:textId="77777777" w:rsidR="009B153B" w:rsidRPr="001C4018" w:rsidRDefault="009B153B" w:rsidP="00382152">
            <w:pPr>
              <w:pStyle w:val="TableText"/>
              <w:rPr>
                <w:highlight w:val="yellow"/>
              </w:rPr>
            </w:pPr>
            <w:r w:rsidRPr="001C4018">
              <w:t xml:space="preserve">High flows to be diverted or the bioretention system protected by ‘feedback control’ </w:t>
            </w:r>
            <w:r>
              <w:t xml:space="preserve">through back-watering of the inlet </w:t>
            </w:r>
            <w:r w:rsidRPr="001C4018">
              <w:t>to prevent inflow after extended detention is filled.</w:t>
            </w:r>
          </w:p>
        </w:tc>
      </w:tr>
      <w:tr w:rsidR="009B153B" w:rsidRPr="001C4018" w14:paraId="770CD4F5" w14:textId="77777777" w:rsidTr="00FD3222">
        <w:tc>
          <w:tcPr>
            <w:tcW w:w="2552" w:type="dxa"/>
          </w:tcPr>
          <w:p w14:paraId="33732ED3" w14:textId="77777777" w:rsidR="009B153B" w:rsidRPr="001C4018" w:rsidRDefault="009B153B" w:rsidP="00382152">
            <w:pPr>
              <w:pStyle w:val="TableText"/>
            </w:pPr>
            <w:r w:rsidRPr="001C4018">
              <w:t>Where dwarf galaxia habitat needs to be protected</w:t>
            </w:r>
            <w:r w:rsidR="00382152">
              <w:t>.</w:t>
            </w:r>
          </w:p>
        </w:tc>
        <w:tc>
          <w:tcPr>
            <w:tcW w:w="3685" w:type="dxa"/>
          </w:tcPr>
          <w:p w14:paraId="64D83070" w14:textId="77777777" w:rsidR="009B153B" w:rsidRPr="001C4018" w:rsidRDefault="009B153B" w:rsidP="00382152">
            <w:pPr>
              <w:pStyle w:val="TableText"/>
            </w:pPr>
            <w:r w:rsidRPr="001C4018">
              <w:t>The absence of permanent water in a bioretention system prevents the distribution of species that are a threat to dwarf galaxia.</w:t>
            </w:r>
          </w:p>
        </w:tc>
        <w:tc>
          <w:tcPr>
            <w:tcW w:w="2552" w:type="dxa"/>
          </w:tcPr>
          <w:p w14:paraId="54C72615" w14:textId="77777777" w:rsidR="009B153B" w:rsidRPr="001C4018" w:rsidRDefault="009B153B" w:rsidP="00382152">
            <w:pPr>
              <w:pStyle w:val="TableText"/>
            </w:pPr>
            <w:r>
              <w:t>Consider using a wetland instead or establishing complementary dwarf galaxia habitat such as wetlands or ponds.</w:t>
            </w:r>
          </w:p>
        </w:tc>
      </w:tr>
      <w:tr w:rsidR="009B153B" w:rsidRPr="001C4018" w14:paraId="693ACFF6" w14:textId="77777777" w:rsidTr="00FD3222">
        <w:tc>
          <w:tcPr>
            <w:tcW w:w="2552" w:type="dxa"/>
          </w:tcPr>
          <w:p w14:paraId="4252B955" w14:textId="77777777" w:rsidR="009B153B" w:rsidRPr="001C4018" w:rsidRDefault="009B153B" w:rsidP="00382152">
            <w:pPr>
              <w:pStyle w:val="TableText"/>
            </w:pPr>
            <w:r w:rsidRPr="001C4018">
              <w:t>Sites with insufficient drainage outfall depth or no option to provide an overflow weir and high flow bypass.</w:t>
            </w:r>
          </w:p>
        </w:tc>
        <w:tc>
          <w:tcPr>
            <w:tcW w:w="3685" w:type="dxa"/>
          </w:tcPr>
          <w:p w14:paraId="7A9CD54E" w14:textId="77777777" w:rsidR="009B153B" w:rsidRPr="001C4018" w:rsidRDefault="009B153B" w:rsidP="00382152">
            <w:pPr>
              <w:pStyle w:val="TableText"/>
            </w:pPr>
            <w:r w:rsidRPr="001C4018">
              <w:t>A frequently back-watered drainage layer will not support drainage of the filter media – which may adversely impact plant health; and may cause blockages in the pipes within the drainage layer.</w:t>
            </w:r>
          </w:p>
        </w:tc>
        <w:tc>
          <w:tcPr>
            <w:tcW w:w="2552" w:type="dxa"/>
          </w:tcPr>
          <w:p w14:paraId="6DB012F6" w14:textId="77777777" w:rsidR="009B153B" w:rsidRPr="001C4018" w:rsidRDefault="009B153B" w:rsidP="00382152">
            <w:pPr>
              <w:pStyle w:val="TableText"/>
            </w:pPr>
            <w:r w:rsidRPr="001C4018">
              <w:t>Designs for potentially vulnerable sites need to be informed by an understanding of downstream water level pattern (e.g. dry weather flows for all seasons. Frequent event water levels and associated spells).</w:t>
            </w:r>
          </w:p>
          <w:p w14:paraId="16D44A80" w14:textId="77777777" w:rsidR="009B153B" w:rsidRPr="001C4018" w:rsidRDefault="009B153B" w:rsidP="00382152">
            <w:pPr>
              <w:pStyle w:val="TableText"/>
            </w:pPr>
            <w:r w:rsidRPr="001C4018">
              <w:t xml:space="preserve">A design for a </w:t>
            </w:r>
            <w:r>
              <w:t xml:space="preserve">submerged zone </w:t>
            </w:r>
            <w:r w:rsidRPr="001C4018">
              <w:t>is compatible with a shallower drainage outfall.</w:t>
            </w:r>
          </w:p>
        </w:tc>
      </w:tr>
      <w:tr w:rsidR="009B153B" w:rsidRPr="001C4018" w14:paraId="3EEE7ED7" w14:textId="77777777" w:rsidTr="00FD3222">
        <w:tc>
          <w:tcPr>
            <w:tcW w:w="2552" w:type="dxa"/>
          </w:tcPr>
          <w:p w14:paraId="10490ACE" w14:textId="77777777" w:rsidR="009B153B" w:rsidRPr="001C4018" w:rsidRDefault="009B153B" w:rsidP="00382152">
            <w:pPr>
              <w:pStyle w:val="TableText"/>
            </w:pPr>
            <w:r w:rsidRPr="001C4018">
              <w:t>Sites with tidal influence or shallow saline groundwater</w:t>
            </w:r>
            <w:r w:rsidR="00382152">
              <w:t>.</w:t>
            </w:r>
          </w:p>
        </w:tc>
        <w:tc>
          <w:tcPr>
            <w:tcW w:w="3685" w:type="dxa"/>
          </w:tcPr>
          <w:p w14:paraId="5D302CAB" w14:textId="77777777" w:rsidR="009B153B" w:rsidRPr="001C4018" w:rsidRDefault="009B153B" w:rsidP="00382152">
            <w:pPr>
              <w:pStyle w:val="TableText"/>
            </w:pPr>
            <w:r w:rsidRPr="001C4018">
              <w:t>Saline water compromises the biological function of the system.</w:t>
            </w:r>
          </w:p>
        </w:tc>
        <w:tc>
          <w:tcPr>
            <w:tcW w:w="2552" w:type="dxa"/>
          </w:tcPr>
          <w:p w14:paraId="1C2E7FEE" w14:textId="77777777" w:rsidR="009B153B" w:rsidRPr="001C4018" w:rsidRDefault="009B153B" w:rsidP="00382152">
            <w:pPr>
              <w:pStyle w:val="TableText"/>
            </w:pPr>
            <w:r w:rsidRPr="001C4018">
              <w:t>Designs for potentially vulnerable sites need to be informed by an understanding of observed tidal patterns.  As above,</w:t>
            </w:r>
            <w:r>
              <w:t xml:space="preserve"> a submerged zone</w:t>
            </w:r>
            <w:r w:rsidRPr="001C4018">
              <w:t xml:space="preserve"> may help to raise the outlet pipe above the tidal influence.</w:t>
            </w:r>
          </w:p>
        </w:tc>
      </w:tr>
      <w:tr w:rsidR="009B153B" w:rsidRPr="001C4018" w14:paraId="5354944D" w14:textId="77777777" w:rsidTr="00FD3222">
        <w:tc>
          <w:tcPr>
            <w:tcW w:w="2552" w:type="dxa"/>
          </w:tcPr>
          <w:p w14:paraId="5E84CC7B" w14:textId="77777777" w:rsidR="009B153B" w:rsidRPr="001C4018" w:rsidRDefault="009B153B" w:rsidP="00382152">
            <w:pPr>
              <w:pStyle w:val="TableText"/>
            </w:pPr>
            <w:r w:rsidRPr="001C4018">
              <w:t>Sites subject to toxic runoff</w:t>
            </w:r>
            <w:r w:rsidR="00382152">
              <w:t>.</w:t>
            </w:r>
          </w:p>
        </w:tc>
        <w:tc>
          <w:tcPr>
            <w:tcW w:w="3685" w:type="dxa"/>
          </w:tcPr>
          <w:p w14:paraId="27A56460" w14:textId="77777777" w:rsidR="009B153B" w:rsidRPr="001C4018" w:rsidRDefault="009B153B" w:rsidP="00382152">
            <w:pPr>
              <w:pStyle w:val="TableText"/>
            </w:pPr>
            <w:r w:rsidRPr="001C4018">
              <w:t xml:space="preserve">When the system is at risk of being exposed to toxic substances such as </w:t>
            </w:r>
            <w:r w:rsidRPr="001C4018">
              <w:lastRenderedPageBreak/>
              <w:t xml:space="preserve">herbicides, solvents or industrial contaminants, its biological function will be compromised. </w:t>
            </w:r>
          </w:p>
        </w:tc>
        <w:tc>
          <w:tcPr>
            <w:tcW w:w="2552" w:type="dxa"/>
          </w:tcPr>
          <w:p w14:paraId="0F087A9D" w14:textId="77777777" w:rsidR="009B153B" w:rsidRPr="001C4018" w:rsidRDefault="009B153B" w:rsidP="00382152">
            <w:pPr>
              <w:pStyle w:val="TableText"/>
            </w:pPr>
            <w:r w:rsidRPr="001C4018">
              <w:lastRenderedPageBreak/>
              <w:t xml:space="preserve">Structural separation must be used to mitigate the impact of </w:t>
            </w:r>
            <w:r w:rsidRPr="001C4018">
              <w:lastRenderedPageBreak/>
              <w:t>industrial activity (and associated harmful toxicants) on the stormwater system.</w:t>
            </w:r>
          </w:p>
        </w:tc>
      </w:tr>
      <w:tr w:rsidR="009B153B" w:rsidRPr="001C4018" w14:paraId="781E18E4" w14:textId="77777777" w:rsidTr="00FD3222">
        <w:tc>
          <w:tcPr>
            <w:tcW w:w="2552" w:type="dxa"/>
          </w:tcPr>
          <w:p w14:paraId="6ECA41CF" w14:textId="77777777" w:rsidR="009B153B" w:rsidRPr="001C4018" w:rsidRDefault="009B153B" w:rsidP="00382152">
            <w:pPr>
              <w:pStyle w:val="TableText"/>
            </w:pPr>
            <w:r w:rsidRPr="001C4018">
              <w:lastRenderedPageBreak/>
              <w:t>Asset cannot be accessed for maintenance</w:t>
            </w:r>
            <w:r w:rsidR="00382152">
              <w:t>.</w:t>
            </w:r>
          </w:p>
        </w:tc>
        <w:tc>
          <w:tcPr>
            <w:tcW w:w="3685" w:type="dxa"/>
          </w:tcPr>
          <w:p w14:paraId="604B9B5B" w14:textId="77777777" w:rsidR="009B153B" w:rsidRPr="001C4018" w:rsidRDefault="009B153B" w:rsidP="00382152">
            <w:pPr>
              <w:pStyle w:val="TableText"/>
            </w:pPr>
            <w:r w:rsidRPr="001C4018">
              <w:t>Regular maintenance is vital to ensure optimal function of the system and asset longevity.</w:t>
            </w:r>
          </w:p>
        </w:tc>
        <w:tc>
          <w:tcPr>
            <w:tcW w:w="2552" w:type="dxa"/>
          </w:tcPr>
          <w:p w14:paraId="4F93E752" w14:textId="77777777" w:rsidR="009B153B" w:rsidRPr="001C4018" w:rsidRDefault="009B153B" w:rsidP="00382152">
            <w:pPr>
              <w:pStyle w:val="TableText"/>
            </w:pPr>
            <w:r>
              <w:t>Design to minimise maintenance requirements, e.g. upstream litter and sediment control, tree planting and dense planting to control weeds.</w:t>
            </w:r>
          </w:p>
        </w:tc>
      </w:tr>
      <w:tr w:rsidR="009B153B" w:rsidRPr="001C4018" w14:paraId="7FBAB294" w14:textId="77777777" w:rsidTr="00FD3222">
        <w:tc>
          <w:tcPr>
            <w:tcW w:w="2552" w:type="dxa"/>
          </w:tcPr>
          <w:p w14:paraId="35ADD672" w14:textId="77777777" w:rsidR="009B153B" w:rsidRPr="001C4018" w:rsidRDefault="009B153B" w:rsidP="00382152">
            <w:pPr>
              <w:pStyle w:val="TableText"/>
            </w:pPr>
            <w:r w:rsidRPr="001C4018">
              <w:t>Sites with acid sulphate soils</w:t>
            </w:r>
            <w:r w:rsidR="00382152">
              <w:t>.</w:t>
            </w:r>
          </w:p>
        </w:tc>
        <w:tc>
          <w:tcPr>
            <w:tcW w:w="3685" w:type="dxa"/>
          </w:tcPr>
          <w:p w14:paraId="69089161" w14:textId="77777777" w:rsidR="009B153B" w:rsidRPr="001C4018" w:rsidRDefault="009B153B" w:rsidP="00382152">
            <w:pPr>
              <w:pStyle w:val="TableText"/>
            </w:pPr>
            <w:r w:rsidRPr="001C4018">
              <w:t xml:space="preserve">Acid sulphate soils are harmful when exposed to air, such as through drainage or excavation. </w:t>
            </w:r>
          </w:p>
        </w:tc>
        <w:tc>
          <w:tcPr>
            <w:tcW w:w="2552" w:type="dxa"/>
          </w:tcPr>
          <w:p w14:paraId="08BE1866" w14:textId="77777777" w:rsidR="009B153B" w:rsidRPr="001C4018" w:rsidRDefault="009B153B" w:rsidP="00382152">
            <w:pPr>
              <w:pStyle w:val="TableText"/>
            </w:pPr>
            <w:r w:rsidRPr="001C4018">
              <w:t>Activities with the potential to disturb acid sulphate soils must be managed carefully to avoid serious environmental harm.</w:t>
            </w:r>
          </w:p>
        </w:tc>
      </w:tr>
      <w:tr w:rsidR="009B153B" w:rsidRPr="001C4018" w14:paraId="6F0E8A22" w14:textId="77777777" w:rsidTr="00FD3222">
        <w:tc>
          <w:tcPr>
            <w:tcW w:w="2552" w:type="dxa"/>
          </w:tcPr>
          <w:p w14:paraId="3861DA71" w14:textId="77777777" w:rsidR="009B153B" w:rsidRPr="001C4018" w:rsidRDefault="009B153B" w:rsidP="00382152">
            <w:pPr>
              <w:pStyle w:val="TableText"/>
            </w:pPr>
            <w:r w:rsidRPr="001C4018">
              <w:t>The quality of inflow is impacted by upstream construction phase activities.</w:t>
            </w:r>
          </w:p>
        </w:tc>
        <w:tc>
          <w:tcPr>
            <w:tcW w:w="3685" w:type="dxa"/>
          </w:tcPr>
          <w:p w14:paraId="1D05F280" w14:textId="77777777" w:rsidR="009B153B" w:rsidRPr="001C4018" w:rsidRDefault="009B153B" w:rsidP="00382152">
            <w:pPr>
              <w:pStyle w:val="TableText"/>
            </w:pPr>
            <w:r w:rsidRPr="001C4018">
              <w:t>High sediment loads running off developing catchments clog the filter media requiring it to be reset. Bioretention assets need to be protected from sediment runoff until at least 90% of construction and building works are completed.</w:t>
            </w:r>
          </w:p>
        </w:tc>
        <w:tc>
          <w:tcPr>
            <w:tcW w:w="2552" w:type="dxa"/>
          </w:tcPr>
          <w:p w14:paraId="0834DCFD" w14:textId="77777777" w:rsidR="009B153B" w:rsidRPr="001C4018" w:rsidRDefault="009B153B" w:rsidP="00382152">
            <w:pPr>
              <w:pStyle w:val="TableText"/>
            </w:pPr>
            <w:r w:rsidRPr="001C4018">
              <w:t>The bioretention asset may be constructed without planting and covered with a protective surface that will be removed (together with accumulated sediment) once the high-risk development activity threshold has passed.</w:t>
            </w:r>
          </w:p>
        </w:tc>
      </w:tr>
    </w:tbl>
    <w:p w14:paraId="1BD62B59" w14:textId="77777777" w:rsidR="009B153B" w:rsidRPr="003D571A" w:rsidRDefault="009B153B" w:rsidP="009B153B">
      <w:pPr>
        <w:spacing w:line="264" w:lineRule="auto"/>
      </w:pPr>
    </w:p>
    <w:p w14:paraId="0249A584" w14:textId="77777777" w:rsidR="009B153B" w:rsidRDefault="009B153B" w:rsidP="009B153B">
      <w:pPr>
        <w:rPr>
          <w:rFonts w:cs="Helvetica"/>
          <w:color w:val="000000"/>
          <w:szCs w:val="20"/>
        </w:rPr>
      </w:pPr>
    </w:p>
    <w:p w14:paraId="5E5F648F" w14:textId="77777777" w:rsidR="009B153B" w:rsidRPr="009B153B" w:rsidRDefault="009B153B" w:rsidP="009B153B">
      <w:pPr>
        <w:pStyle w:val="BodyText"/>
      </w:pPr>
    </w:p>
    <w:p w14:paraId="0CA1B738" w14:textId="77777777" w:rsidR="00A87D8B" w:rsidRPr="00A87D8B" w:rsidRDefault="00A87D8B" w:rsidP="00A87D8B">
      <w:pPr>
        <w:pStyle w:val="BodyText"/>
      </w:pPr>
    </w:p>
    <w:sectPr w:rsidR="00A87D8B" w:rsidRPr="00A87D8B" w:rsidSect="0086353C">
      <w:type w:val="continuous"/>
      <w:pgSz w:w="11907" w:h="16840" w:code="9"/>
      <w:pgMar w:top="1588" w:right="1588" w:bottom="1588" w:left="1588" w:header="567" w:footer="34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C5AE7" w14:textId="77777777" w:rsidR="002A62BC" w:rsidRDefault="002A62BC" w:rsidP="00CE604F">
      <w:r>
        <w:separator/>
      </w:r>
    </w:p>
    <w:p w14:paraId="0C2819E0" w14:textId="77777777" w:rsidR="002A62BC" w:rsidRDefault="002A62BC" w:rsidP="00CE604F"/>
    <w:p w14:paraId="79756490" w14:textId="77777777" w:rsidR="002A62BC" w:rsidRDefault="002A62BC" w:rsidP="00CE604F"/>
    <w:p w14:paraId="279FDF60" w14:textId="77777777" w:rsidR="002A62BC" w:rsidRDefault="002A62BC" w:rsidP="00CE604F"/>
  </w:endnote>
  <w:endnote w:type="continuationSeparator" w:id="0">
    <w:p w14:paraId="01FBF9BA" w14:textId="77777777" w:rsidR="002A62BC" w:rsidRDefault="002A62BC" w:rsidP="00CE604F">
      <w:r>
        <w:continuationSeparator/>
      </w:r>
    </w:p>
    <w:p w14:paraId="3AA81755" w14:textId="77777777" w:rsidR="002A62BC" w:rsidRDefault="002A62BC" w:rsidP="00CE604F"/>
    <w:p w14:paraId="5D93EBA6" w14:textId="77777777" w:rsidR="002A62BC" w:rsidRDefault="002A62BC" w:rsidP="00CE604F"/>
    <w:p w14:paraId="0EC432FF" w14:textId="77777777" w:rsidR="002A62BC" w:rsidRDefault="002A62BC"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F960" w14:textId="77777777" w:rsidR="002B714E" w:rsidRPr="00034A7D" w:rsidRDefault="002B714E"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5234CA">
      <w:rPr>
        <w:rStyle w:val="PageNumber"/>
        <w:noProof/>
      </w:rPr>
      <w:t>6</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4EFA" w14:textId="77777777" w:rsidR="002B714E" w:rsidRPr="00034A7D" w:rsidRDefault="002B714E"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5234CA">
      <w:rPr>
        <w:rStyle w:val="PageNumber"/>
        <w:noProof/>
      </w:rPr>
      <w:t>7</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CA9E" w14:textId="77777777" w:rsidR="002B714E" w:rsidRDefault="002B7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874F6" w14:textId="77777777" w:rsidR="002A62BC" w:rsidRDefault="002A62BC" w:rsidP="00CE604F">
      <w:r>
        <w:separator/>
      </w:r>
    </w:p>
  </w:footnote>
  <w:footnote w:type="continuationSeparator" w:id="0">
    <w:p w14:paraId="11D01078" w14:textId="77777777" w:rsidR="002A62BC" w:rsidRDefault="002A62BC" w:rsidP="00CE604F">
      <w:r>
        <w:continuationSeparator/>
      </w:r>
    </w:p>
    <w:p w14:paraId="761477E0" w14:textId="77777777" w:rsidR="002A62BC" w:rsidRDefault="002A62BC" w:rsidP="00CE604F"/>
    <w:p w14:paraId="0A47B3A1" w14:textId="77777777" w:rsidR="002A62BC" w:rsidRDefault="002A62BC" w:rsidP="00CE604F"/>
    <w:p w14:paraId="7BC2E6A6" w14:textId="77777777" w:rsidR="002A62BC" w:rsidRDefault="002A62BC"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35E4" w14:textId="77777777" w:rsidR="002B714E" w:rsidRDefault="002B714E" w:rsidP="005F39EC">
    <w:pPr>
      <w:pStyle w:val="HeaderSpacer"/>
    </w:pPr>
  </w:p>
  <w:p w14:paraId="2E0050D5" w14:textId="77777777" w:rsidR="002B714E" w:rsidRDefault="002B7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20D9" w14:textId="77777777" w:rsidR="002B714E" w:rsidRPr="005F39EC" w:rsidRDefault="002B714E" w:rsidP="005F39EC">
    <w:pPr>
      <w:pStyle w:val="HeaderSpacer"/>
    </w:pPr>
  </w:p>
  <w:p w14:paraId="4DF7DE27" w14:textId="77777777" w:rsidR="002B714E" w:rsidRDefault="002B7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C3E0" w14:textId="77777777" w:rsidR="002B714E" w:rsidRDefault="002B714E" w:rsidP="005F39EC">
    <w:pPr>
      <w:pStyle w:val="Header"/>
    </w:pPr>
    <w:r>
      <w:rPr>
        <w:noProof/>
      </w:rPr>
      <w:drawing>
        <wp:anchor distT="0" distB="0" distL="114300" distR="114300" simplePos="0" relativeHeight="251658239" behindDoc="0" locked="1" layoutInCell="1" allowOverlap="1" wp14:anchorId="56A75AF2" wp14:editId="6D58E781">
          <wp:simplePos x="504825" y="361950"/>
          <wp:positionH relativeFrom="page">
            <wp:align>left</wp:align>
          </wp:positionH>
          <wp:positionV relativeFrom="page">
            <wp:align>top</wp:align>
          </wp:positionV>
          <wp:extent cx="7560000" cy="1069200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8152EAF"/>
    <w:multiLevelType w:val="hybridMultilevel"/>
    <w:tmpl w:val="017C39A4"/>
    <w:lvl w:ilvl="0" w:tplc="3D1CD7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9" w15:restartNumberingAfterBreak="0">
    <w:nsid w:val="40C46BE5"/>
    <w:multiLevelType w:val="hybridMultilevel"/>
    <w:tmpl w:val="DE588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1"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4C411C1B"/>
    <w:multiLevelType w:val="hybridMultilevel"/>
    <w:tmpl w:val="EA020024"/>
    <w:lvl w:ilvl="0" w:tplc="5D2CC93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59611C3D"/>
    <w:multiLevelType w:val="multilevel"/>
    <w:tmpl w:val="CE9CE044"/>
    <w:lvl w:ilvl="0">
      <w:start w:val="1"/>
      <w:numFmt w:val="bullet"/>
      <w:lvlText w:val="•"/>
      <w:lvlJc w:val="left"/>
      <w:pPr>
        <w:tabs>
          <w:tab w:val="num" w:pos="170"/>
        </w:tabs>
        <w:ind w:left="170" w:hanging="170"/>
      </w:pPr>
      <w:rPr>
        <w:rFonts w:ascii="Calibri" w:hAnsi="Calibri" w:hint="default"/>
        <w:color w:val="8ACED7" w:themeColor="accent1"/>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ind w:left="700" w:hanging="360"/>
      </w:pPr>
      <w:rPr>
        <w:rFonts w:ascii="Symbol" w:hAnsi="Symbol" w:hint="default"/>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4" w15:restartNumberingAfterBreak="0">
    <w:nsid w:val="5C9330F7"/>
    <w:multiLevelType w:val="hybridMultilevel"/>
    <w:tmpl w:val="80DA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6AE7711E"/>
    <w:multiLevelType w:val="hybridMultilevel"/>
    <w:tmpl w:val="2E1AE936"/>
    <w:lvl w:ilvl="0" w:tplc="E4808AAA">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8" w15:restartNumberingAfterBreak="0">
    <w:nsid w:val="78F64B07"/>
    <w:multiLevelType w:val="multilevel"/>
    <w:tmpl w:val="255EC9D0"/>
    <w:lvl w:ilvl="0">
      <w:start w:val="1"/>
      <w:numFmt w:val="bullet"/>
      <w:lvlText w:val="•"/>
      <w:lvlJc w:val="left"/>
      <w:pPr>
        <w:tabs>
          <w:tab w:val="num" w:pos="170"/>
        </w:tabs>
        <w:ind w:left="170" w:hanging="170"/>
      </w:pPr>
      <w:rPr>
        <w:rFonts w:ascii="Calibri" w:hAnsi="Calibri" w:hint="default"/>
        <w:color w:val="8ACED7" w:themeColor="accent1"/>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o"/>
      <w:lvlJc w:val="left"/>
      <w:pPr>
        <w:ind w:left="1040" w:hanging="360"/>
      </w:pPr>
      <w:rPr>
        <w:rFonts w:ascii="Courier New" w:hAnsi="Courier New" w:cs="Courier New" w:hint="default"/>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num w:numId="1" w16cid:durableId="264002353">
    <w:abstractNumId w:val="8"/>
  </w:num>
  <w:num w:numId="2" w16cid:durableId="1170413139">
    <w:abstractNumId w:val="4"/>
  </w:num>
  <w:num w:numId="3" w16cid:durableId="1067605031">
    <w:abstractNumId w:val="15"/>
  </w:num>
  <w:num w:numId="4" w16cid:durableId="1045449283">
    <w:abstractNumId w:val="5"/>
  </w:num>
  <w:num w:numId="5" w16cid:durableId="1171795345">
    <w:abstractNumId w:val="10"/>
  </w:num>
  <w:num w:numId="6" w16cid:durableId="970944569">
    <w:abstractNumId w:val="11"/>
  </w:num>
  <w:num w:numId="7" w16cid:durableId="3362641">
    <w:abstractNumId w:val="14"/>
  </w:num>
  <w:num w:numId="8" w16cid:durableId="979921937">
    <w:abstractNumId w:val="9"/>
  </w:num>
  <w:num w:numId="9" w16cid:durableId="3417077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26603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1446005">
    <w:abstractNumId w:val="3"/>
  </w:num>
  <w:num w:numId="12" w16cid:durableId="2089840442">
    <w:abstractNumId w:val="12"/>
  </w:num>
  <w:num w:numId="13" w16cid:durableId="1775443129">
    <w:abstractNumId w:val="16"/>
  </w:num>
  <w:num w:numId="14" w16cid:durableId="53623212">
    <w:abstractNumId w:val="8"/>
  </w:num>
  <w:num w:numId="15" w16cid:durableId="1054500061">
    <w:abstractNumId w:val="8"/>
  </w:num>
  <w:num w:numId="16" w16cid:durableId="1643924487">
    <w:abstractNumId w:val="8"/>
  </w:num>
  <w:num w:numId="17" w16cid:durableId="1113014961">
    <w:abstractNumId w:val="8"/>
  </w:num>
  <w:num w:numId="18" w16cid:durableId="530076030">
    <w:abstractNumId w:val="8"/>
  </w:num>
  <w:num w:numId="19" w16cid:durableId="515386415">
    <w:abstractNumId w:val="8"/>
  </w:num>
  <w:num w:numId="20" w16cid:durableId="1002050789">
    <w:abstractNumId w:val="8"/>
  </w:num>
  <w:num w:numId="21" w16cid:durableId="141655624">
    <w:abstractNumId w:val="13"/>
  </w:num>
  <w:num w:numId="22" w16cid:durableId="6258099">
    <w:abstractNumId w:val="18"/>
  </w:num>
  <w:num w:numId="23" w16cid:durableId="1850219951">
    <w:abstractNumId w:val="8"/>
  </w:num>
  <w:num w:numId="24" w16cid:durableId="106872175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0C"/>
    <w:rsid w:val="000023A0"/>
    <w:rsid w:val="000048A1"/>
    <w:rsid w:val="0000578C"/>
    <w:rsid w:val="00010362"/>
    <w:rsid w:val="00012493"/>
    <w:rsid w:val="0001253A"/>
    <w:rsid w:val="00015395"/>
    <w:rsid w:val="00015489"/>
    <w:rsid w:val="00021629"/>
    <w:rsid w:val="0002770F"/>
    <w:rsid w:val="00030518"/>
    <w:rsid w:val="000340A9"/>
    <w:rsid w:val="00034A7D"/>
    <w:rsid w:val="00035765"/>
    <w:rsid w:val="00035E23"/>
    <w:rsid w:val="00041675"/>
    <w:rsid w:val="000500E3"/>
    <w:rsid w:val="00051849"/>
    <w:rsid w:val="0005429C"/>
    <w:rsid w:val="00056673"/>
    <w:rsid w:val="0006184F"/>
    <w:rsid w:val="000645EC"/>
    <w:rsid w:val="00072C00"/>
    <w:rsid w:val="00075801"/>
    <w:rsid w:val="000767E6"/>
    <w:rsid w:val="0008198D"/>
    <w:rsid w:val="0008298C"/>
    <w:rsid w:val="000830C8"/>
    <w:rsid w:val="000846FE"/>
    <w:rsid w:val="000873E7"/>
    <w:rsid w:val="00093BCB"/>
    <w:rsid w:val="0009559C"/>
    <w:rsid w:val="00095E19"/>
    <w:rsid w:val="000A0633"/>
    <w:rsid w:val="000A4BF6"/>
    <w:rsid w:val="000A73E8"/>
    <w:rsid w:val="000B5463"/>
    <w:rsid w:val="000C2502"/>
    <w:rsid w:val="000C73FC"/>
    <w:rsid w:val="000C7DD4"/>
    <w:rsid w:val="000D1087"/>
    <w:rsid w:val="000D22C8"/>
    <w:rsid w:val="000D6EA5"/>
    <w:rsid w:val="000E22A7"/>
    <w:rsid w:val="000E46A7"/>
    <w:rsid w:val="000F52FE"/>
    <w:rsid w:val="000F71C6"/>
    <w:rsid w:val="00103137"/>
    <w:rsid w:val="00104560"/>
    <w:rsid w:val="00113B8E"/>
    <w:rsid w:val="00114534"/>
    <w:rsid w:val="0011699E"/>
    <w:rsid w:val="00116F56"/>
    <w:rsid w:val="001207DA"/>
    <w:rsid w:val="00121968"/>
    <w:rsid w:val="00122E8B"/>
    <w:rsid w:val="0012303F"/>
    <w:rsid w:val="0012316D"/>
    <w:rsid w:val="0012356D"/>
    <w:rsid w:val="00126586"/>
    <w:rsid w:val="001357B8"/>
    <w:rsid w:val="001359F2"/>
    <w:rsid w:val="0013729F"/>
    <w:rsid w:val="00141245"/>
    <w:rsid w:val="00146E27"/>
    <w:rsid w:val="0015135C"/>
    <w:rsid w:val="00152D85"/>
    <w:rsid w:val="00153248"/>
    <w:rsid w:val="001546E5"/>
    <w:rsid w:val="001546EB"/>
    <w:rsid w:val="0015593C"/>
    <w:rsid w:val="001626E3"/>
    <w:rsid w:val="00162A63"/>
    <w:rsid w:val="0016404D"/>
    <w:rsid w:val="0016753C"/>
    <w:rsid w:val="00171B11"/>
    <w:rsid w:val="001739ED"/>
    <w:rsid w:val="001864B5"/>
    <w:rsid w:val="00187E3B"/>
    <w:rsid w:val="00191177"/>
    <w:rsid w:val="0019445B"/>
    <w:rsid w:val="001946CF"/>
    <w:rsid w:val="00194A12"/>
    <w:rsid w:val="00196728"/>
    <w:rsid w:val="001976D9"/>
    <w:rsid w:val="001A3E10"/>
    <w:rsid w:val="001B0978"/>
    <w:rsid w:val="001B0E1A"/>
    <w:rsid w:val="001B1BE4"/>
    <w:rsid w:val="001B24EF"/>
    <w:rsid w:val="001B3939"/>
    <w:rsid w:val="001B547E"/>
    <w:rsid w:val="001C5632"/>
    <w:rsid w:val="001C6741"/>
    <w:rsid w:val="001C6D0A"/>
    <w:rsid w:val="001D2E15"/>
    <w:rsid w:val="001D6EA1"/>
    <w:rsid w:val="001E444C"/>
    <w:rsid w:val="001E5696"/>
    <w:rsid w:val="001F09FA"/>
    <w:rsid w:val="001F2179"/>
    <w:rsid w:val="001F2A2A"/>
    <w:rsid w:val="001F427B"/>
    <w:rsid w:val="001F48C9"/>
    <w:rsid w:val="001F5141"/>
    <w:rsid w:val="001F6962"/>
    <w:rsid w:val="00200716"/>
    <w:rsid w:val="00206A5B"/>
    <w:rsid w:val="002071DA"/>
    <w:rsid w:val="002108F8"/>
    <w:rsid w:val="00210D17"/>
    <w:rsid w:val="0021479F"/>
    <w:rsid w:val="00214DB3"/>
    <w:rsid w:val="00215F5E"/>
    <w:rsid w:val="00217331"/>
    <w:rsid w:val="00220CCC"/>
    <w:rsid w:val="00221F39"/>
    <w:rsid w:val="00230CF5"/>
    <w:rsid w:val="002345A8"/>
    <w:rsid w:val="00236CCB"/>
    <w:rsid w:val="00240500"/>
    <w:rsid w:val="002417C3"/>
    <w:rsid w:val="002435F7"/>
    <w:rsid w:val="00250A74"/>
    <w:rsid w:val="00250D31"/>
    <w:rsid w:val="00260B9B"/>
    <w:rsid w:val="00271541"/>
    <w:rsid w:val="0027230C"/>
    <w:rsid w:val="00275B0E"/>
    <w:rsid w:val="0027603E"/>
    <w:rsid w:val="00283B16"/>
    <w:rsid w:val="002848A6"/>
    <w:rsid w:val="00284A44"/>
    <w:rsid w:val="002862A5"/>
    <w:rsid w:val="002900A6"/>
    <w:rsid w:val="002914EA"/>
    <w:rsid w:val="002922E2"/>
    <w:rsid w:val="00294100"/>
    <w:rsid w:val="002A29EE"/>
    <w:rsid w:val="002A5BE4"/>
    <w:rsid w:val="002A62BC"/>
    <w:rsid w:val="002A7D53"/>
    <w:rsid w:val="002B3442"/>
    <w:rsid w:val="002B4BEE"/>
    <w:rsid w:val="002B714E"/>
    <w:rsid w:val="002C3604"/>
    <w:rsid w:val="002C3D86"/>
    <w:rsid w:val="002C6469"/>
    <w:rsid w:val="002C720A"/>
    <w:rsid w:val="002D090E"/>
    <w:rsid w:val="002D1C35"/>
    <w:rsid w:val="002D2753"/>
    <w:rsid w:val="002D627C"/>
    <w:rsid w:val="002D696E"/>
    <w:rsid w:val="002E0EFD"/>
    <w:rsid w:val="002E1732"/>
    <w:rsid w:val="002E2D7B"/>
    <w:rsid w:val="002F2790"/>
    <w:rsid w:val="002F4E4B"/>
    <w:rsid w:val="002F61B9"/>
    <w:rsid w:val="003007A4"/>
    <w:rsid w:val="00303DD9"/>
    <w:rsid w:val="00306FD8"/>
    <w:rsid w:val="00307A5C"/>
    <w:rsid w:val="00307C95"/>
    <w:rsid w:val="00312DB3"/>
    <w:rsid w:val="003162EE"/>
    <w:rsid w:val="00316A00"/>
    <w:rsid w:val="0031759E"/>
    <w:rsid w:val="0032135D"/>
    <w:rsid w:val="0032261C"/>
    <w:rsid w:val="003258E8"/>
    <w:rsid w:val="0033198A"/>
    <w:rsid w:val="0033295D"/>
    <w:rsid w:val="003357C3"/>
    <w:rsid w:val="00343F6C"/>
    <w:rsid w:val="00345BF1"/>
    <w:rsid w:val="00352096"/>
    <w:rsid w:val="003525BB"/>
    <w:rsid w:val="003563BF"/>
    <w:rsid w:val="00356B4A"/>
    <w:rsid w:val="00361EB0"/>
    <w:rsid w:val="00363D19"/>
    <w:rsid w:val="00366F31"/>
    <w:rsid w:val="0037157C"/>
    <w:rsid w:val="00382098"/>
    <w:rsid w:val="00382152"/>
    <w:rsid w:val="00386225"/>
    <w:rsid w:val="0039142D"/>
    <w:rsid w:val="003937FC"/>
    <w:rsid w:val="00395614"/>
    <w:rsid w:val="00395B75"/>
    <w:rsid w:val="003A1219"/>
    <w:rsid w:val="003A1C7A"/>
    <w:rsid w:val="003A1DE6"/>
    <w:rsid w:val="003A2B8D"/>
    <w:rsid w:val="003A75BE"/>
    <w:rsid w:val="003B403F"/>
    <w:rsid w:val="003C5A9B"/>
    <w:rsid w:val="003C6348"/>
    <w:rsid w:val="003D00CA"/>
    <w:rsid w:val="003D282E"/>
    <w:rsid w:val="003D46FB"/>
    <w:rsid w:val="003D48DA"/>
    <w:rsid w:val="003D720C"/>
    <w:rsid w:val="003E4573"/>
    <w:rsid w:val="003F017A"/>
    <w:rsid w:val="003F3636"/>
    <w:rsid w:val="003F4386"/>
    <w:rsid w:val="004004EE"/>
    <w:rsid w:val="00404275"/>
    <w:rsid w:val="00406F2C"/>
    <w:rsid w:val="0041053A"/>
    <w:rsid w:val="004107B6"/>
    <w:rsid w:val="00411F2C"/>
    <w:rsid w:val="0041214E"/>
    <w:rsid w:val="0042172C"/>
    <w:rsid w:val="00421F96"/>
    <w:rsid w:val="00423980"/>
    <w:rsid w:val="00426496"/>
    <w:rsid w:val="004324FC"/>
    <w:rsid w:val="00436650"/>
    <w:rsid w:val="00444914"/>
    <w:rsid w:val="00444C5F"/>
    <w:rsid w:val="004470FA"/>
    <w:rsid w:val="00447B04"/>
    <w:rsid w:val="00451741"/>
    <w:rsid w:val="00456338"/>
    <w:rsid w:val="004565F2"/>
    <w:rsid w:val="004568F3"/>
    <w:rsid w:val="00461C05"/>
    <w:rsid w:val="00462820"/>
    <w:rsid w:val="00462969"/>
    <w:rsid w:val="004629AA"/>
    <w:rsid w:val="0046590F"/>
    <w:rsid w:val="00466A5F"/>
    <w:rsid w:val="0047146C"/>
    <w:rsid w:val="00471B94"/>
    <w:rsid w:val="004733BA"/>
    <w:rsid w:val="004735CE"/>
    <w:rsid w:val="0048346E"/>
    <w:rsid w:val="00484C6E"/>
    <w:rsid w:val="004853D9"/>
    <w:rsid w:val="0048747B"/>
    <w:rsid w:val="00487805"/>
    <w:rsid w:val="00490898"/>
    <w:rsid w:val="0049166C"/>
    <w:rsid w:val="0049315B"/>
    <w:rsid w:val="00494757"/>
    <w:rsid w:val="00494CBB"/>
    <w:rsid w:val="00495432"/>
    <w:rsid w:val="004A1855"/>
    <w:rsid w:val="004A1ADD"/>
    <w:rsid w:val="004A1F23"/>
    <w:rsid w:val="004A4AE1"/>
    <w:rsid w:val="004A7082"/>
    <w:rsid w:val="004B497A"/>
    <w:rsid w:val="004B4DA0"/>
    <w:rsid w:val="004B545B"/>
    <w:rsid w:val="004B6B3F"/>
    <w:rsid w:val="004C130A"/>
    <w:rsid w:val="004C26DF"/>
    <w:rsid w:val="004C34A2"/>
    <w:rsid w:val="004C5421"/>
    <w:rsid w:val="004D13DC"/>
    <w:rsid w:val="004D2DEE"/>
    <w:rsid w:val="004D392B"/>
    <w:rsid w:val="004D51B9"/>
    <w:rsid w:val="004E0C12"/>
    <w:rsid w:val="004E0DF1"/>
    <w:rsid w:val="004E1E84"/>
    <w:rsid w:val="004E3189"/>
    <w:rsid w:val="004E4D30"/>
    <w:rsid w:val="004E57CE"/>
    <w:rsid w:val="004E67BC"/>
    <w:rsid w:val="004E735A"/>
    <w:rsid w:val="004E75C1"/>
    <w:rsid w:val="004F46FF"/>
    <w:rsid w:val="004F52AC"/>
    <w:rsid w:val="004F6746"/>
    <w:rsid w:val="00501461"/>
    <w:rsid w:val="00504C2B"/>
    <w:rsid w:val="005129D9"/>
    <w:rsid w:val="00512BC7"/>
    <w:rsid w:val="0051345A"/>
    <w:rsid w:val="0052080A"/>
    <w:rsid w:val="005223B0"/>
    <w:rsid w:val="005234CA"/>
    <w:rsid w:val="00523A60"/>
    <w:rsid w:val="00530F4C"/>
    <w:rsid w:val="00531BEE"/>
    <w:rsid w:val="00532A92"/>
    <w:rsid w:val="00533CE6"/>
    <w:rsid w:val="005353AA"/>
    <w:rsid w:val="005373FD"/>
    <w:rsid w:val="00552ED1"/>
    <w:rsid w:val="00555916"/>
    <w:rsid w:val="005562F1"/>
    <w:rsid w:val="005567C3"/>
    <w:rsid w:val="00556887"/>
    <w:rsid w:val="00557B84"/>
    <w:rsid w:val="00561C65"/>
    <w:rsid w:val="00563121"/>
    <w:rsid w:val="00564478"/>
    <w:rsid w:val="00585605"/>
    <w:rsid w:val="00593B93"/>
    <w:rsid w:val="00593EDF"/>
    <w:rsid w:val="00595475"/>
    <w:rsid w:val="00595895"/>
    <w:rsid w:val="005A3B5E"/>
    <w:rsid w:val="005B190C"/>
    <w:rsid w:val="005B374E"/>
    <w:rsid w:val="005B4482"/>
    <w:rsid w:val="005B7F2F"/>
    <w:rsid w:val="005C0139"/>
    <w:rsid w:val="005C11CA"/>
    <w:rsid w:val="005C428F"/>
    <w:rsid w:val="005D35B0"/>
    <w:rsid w:val="005D47B0"/>
    <w:rsid w:val="005D4B4A"/>
    <w:rsid w:val="005D6E29"/>
    <w:rsid w:val="005E5955"/>
    <w:rsid w:val="005F39EC"/>
    <w:rsid w:val="005F4DCA"/>
    <w:rsid w:val="005F5864"/>
    <w:rsid w:val="00607FD8"/>
    <w:rsid w:val="00610552"/>
    <w:rsid w:val="0061505F"/>
    <w:rsid w:val="00615149"/>
    <w:rsid w:val="00617178"/>
    <w:rsid w:val="0061751B"/>
    <w:rsid w:val="0062297D"/>
    <w:rsid w:val="006251CD"/>
    <w:rsid w:val="006338FE"/>
    <w:rsid w:val="00634604"/>
    <w:rsid w:val="006431DE"/>
    <w:rsid w:val="00645D96"/>
    <w:rsid w:val="00647320"/>
    <w:rsid w:val="00651409"/>
    <w:rsid w:val="00653A59"/>
    <w:rsid w:val="00653F5C"/>
    <w:rsid w:val="00654462"/>
    <w:rsid w:val="006545E3"/>
    <w:rsid w:val="0065589F"/>
    <w:rsid w:val="006608C0"/>
    <w:rsid w:val="00662EC6"/>
    <w:rsid w:val="00666355"/>
    <w:rsid w:val="0067249B"/>
    <w:rsid w:val="00676B87"/>
    <w:rsid w:val="00676CC2"/>
    <w:rsid w:val="00677EE0"/>
    <w:rsid w:val="00680DFB"/>
    <w:rsid w:val="006843BB"/>
    <w:rsid w:val="0068456E"/>
    <w:rsid w:val="0068762B"/>
    <w:rsid w:val="00692792"/>
    <w:rsid w:val="006A0287"/>
    <w:rsid w:val="006A1C58"/>
    <w:rsid w:val="006A2BF7"/>
    <w:rsid w:val="006A65C7"/>
    <w:rsid w:val="006A6E4C"/>
    <w:rsid w:val="006B5921"/>
    <w:rsid w:val="006B5B56"/>
    <w:rsid w:val="006C059A"/>
    <w:rsid w:val="006C4A27"/>
    <w:rsid w:val="006C596B"/>
    <w:rsid w:val="006D39B9"/>
    <w:rsid w:val="006D63E0"/>
    <w:rsid w:val="006D676F"/>
    <w:rsid w:val="006E58AA"/>
    <w:rsid w:val="006E6405"/>
    <w:rsid w:val="006E6E31"/>
    <w:rsid w:val="006F0469"/>
    <w:rsid w:val="006F2C20"/>
    <w:rsid w:val="007003CF"/>
    <w:rsid w:val="00701A83"/>
    <w:rsid w:val="00702575"/>
    <w:rsid w:val="00703498"/>
    <w:rsid w:val="00705479"/>
    <w:rsid w:val="00705838"/>
    <w:rsid w:val="0070694E"/>
    <w:rsid w:val="00706BE0"/>
    <w:rsid w:val="00706FD3"/>
    <w:rsid w:val="00710616"/>
    <w:rsid w:val="00710835"/>
    <w:rsid w:val="00712AFE"/>
    <w:rsid w:val="00712E1C"/>
    <w:rsid w:val="00713A1A"/>
    <w:rsid w:val="00717673"/>
    <w:rsid w:val="00720370"/>
    <w:rsid w:val="007207EC"/>
    <w:rsid w:val="00726234"/>
    <w:rsid w:val="00730BC4"/>
    <w:rsid w:val="00735058"/>
    <w:rsid w:val="00740BE0"/>
    <w:rsid w:val="00742416"/>
    <w:rsid w:val="00743140"/>
    <w:rsid w:val="00746CAB"/>
    <w:rsid w:val="00750759"/>
    <w:rsid w:val="00751466"/>
    <w:rsid w:val="00754905"/>
    <w:rsid w:val="00762BAE"/>
    <w:rsid w:val="007641F5"/>
    <w:rsid w:val="00765E2C"/>
    <w:rsid w:val="00766030"/>
    <w:rsid w:val="00773F6E"/>
    <w:rsid w:val="0077461F"/>
    <w:rsid w:val="00774933"/>
    <w:rsid w:val="0077640A"/>
    <w:rsid w:val="00781A61"/>
    <w:rsid w:val="00783165"/>
    <w:rsid w:val="007845BD"/>
    <w:rsid w:val="007861DF"/>
    <w:rsid w:val="00787A5E"/>
    <w:rsid w:val="00790D82"/>
    <w:rsid w:val="007A1CDE"/>
    <w:rsid w:val="007A4A19"/>
    <w:rsid w:val="007A7DD9"/>
    <w:rsid w:val="007B12C6"/>
    <w:rsid w:val="007B4511"/>
    <w:rsid w:val="007B7E8B"/>
    <w:rsid w:val="007C0A4C"/>
    <w:rsid w:val="007C1EB3"/>
    <w:rsid w:val="007C5426"/>
    <w:rsid w:val="007C5AF5"/>
    <w:rsid w:val="007C5D2E"/>
    <w:rsid w:val="007C5E26"/>
    <w:rsid w:val="007D04C8"/>
    <w:rsid w:val="007D5312"/>
    <w:rsid w:val="007D788F"/>
    <w:rsid w:val="007E0193"/>
    <w:rsid w:val="007E23B9"/>
    <w:rsid w:val="007E34EA"/>
    <w:rsid w:val="007E7856"/>
    <w:rsid w:val="007F05D2"/>
    <w:rsid w:val="00803AC3"/>
    <w:rsid w:val="008046A0"/>
    <w:rsid w:val="008066AA"/>
    <w:rsid w:val="008115C3"/>
    <w:rsid w:val="008147A0"/>
    <w:rsid w:val="00815628"/>
    <w:rsid w:val="008169A6"/>
    <w:rsid w:val="00824F5A"/>
    <w:rsid w:val="00830EAA"/>
    <w:rsid w:val="0083162B"/>
    <w:rsid w:val="00841D8C"/>
    <w:rsid w:val="008428C4"/>
    <w:rsid w:val="008429D4"/>
    <w:rsid w:val="008451CA"/>
    <w:rsid w:val="00847025"/>
    <w:rsid w:val="00847D90"/>
    <w:rsid w:val="00854CEA"/>
    <w:rsid w:val="00860935"/>
    <w:rsid w:val="008616F3"/>
    <w:rsid w:val="00862661"/>
    <w:rsid w:val="0086353C"/>
    <w:rsid w:val="00864767"/>
    <w:rsid w:val="00872F39"/>
    <w:rsid w:val="0087344F"/>
    <w:rsid w:val="008832AA"/>
    <w:rsid w:val="0089036E"/>
    <w:rsid w:val="00894262"/>
    <w:rsid w:val="0089570D"/>
    <w:rsid w:val="008A26D6"/>
    <w:rsid w:val="008B12C3"/>
    <w:rsid w:val="008B1448"/>
    <w:rsid w:val="008B2A9A"/>
    <w:rsid w:val="008D000C"/>
    <w:rsid w:val="008D5F8A"/>
    <w:rsid w:val="008E13E8"/>
    <w:rsid w:val="008E31E1"/>
    <w:rsid w:val="008E735C"/>
    <w:rsid w:val="008F3B94"/>
    <w:rsid w:val="008F5002"/>
    <w:rsid w:val="008F52F5"/>
    <w:rsid w:val="008F6661"/>
    <w:rsid w:val="00903687"/>
    <w:rsid w:val="00910D31"/>
    <w:rsid w:val="009115AB"/>
    <w:rsid w:val="00912336"/>
    <w:rsid w:val="00916E61"/>
    <w:rsid w:val="009172F6"/>
    <w:rsid w:val="00922F59"/>
    <w:rsid w:val="00930652"/>
    <w:rsid w:val="00930869"/>
    <w:rsid w:val="0093235E"/>
    <w:rsid w:val="00937703"/>
    <w:rsid w:val="0093771A"/>
    <w:rsid w:val="00944E6B"/>
    <w:rsid w:val="0094605E"/>
    <w:rsid w:val="00953ABE"/>
    <w:rsid w:val="00954C94"/>
    <w:rsid w:val="00961A30"/>
    <w:rsid w:val="00963ABA"/>
    <w:rsid w:val="00966C88"/>
    <w:rsid w:val="00970733"/>
    <w:rsid w:val="00971677"/>
    <w:rsid w:val="00972889"/>
    <w:rsid w:val="00973841"/>
    <w:rsid w:val="00981378"/>
    <w:rsid w:val="0098415F"/>
    <w:rsid w:val="00984A8A"/>
    <w:rsid w:val="00985876"/>
    <w:rsid w:val="00986C85"/>
    <w:rsid w:val="0099324A"/>
    <w:rsid w:val="00994CB7"/>
    <w:rsid w:val="00995A1B"/>
    <w:rsid w:val="009976E0"/>
    <w:rsid w:val="009A2615"/>
    <w:rsid w:val="009A2FBA"/>
    <w:rsid w:val="009A38C0"/>
    <w:rsid w:val="009B153B"/>
    <w:rsid w:val="009B5D92"/>
    <w:rsid w:val="009C5C32"/>
    <w:rsid w:val="009D6278"/>
    <w:rsid w:val="009D7B71"/>
    <w:rsid w:val="009E0153"/>
    <w:rsid w:val="009E3888"/>
    <w:rsid w:val="009E4906"/>
    <w:rsid w:val="009F184B"/>
    <w:rsid w:val="009F25EE"/>
    <w:rsid w:val="009F44CD"/>
    <w:rsid w:val="009F7837"/>
    <w:rsid w:val="00A01D7D"/>
    <w:rsid w:val="00A02A49"/>
    <w:rsid w:val="00A02F5D"/>
    <w:rsid w:val="00A12C87"/>
    <w:rsid w:val="00A15A05"/>
    <w:rsid w:val="00A15D80"/>
    <w:rsid w:val="00A15EF9"/>
    <w:rsid w:val="00A17099"/>
    <w:rsid w:val="00A21F56"/>
    <w:rsid w:val="00A233F9"/>
    <w:rsid w:val="00A24C55"/>
    <w:rsid w:val="00A26D88"/>
    <w:rsid w:val="00A27EBF"/>
    <w:rsid w:val="00A33B33"/>
    <w:rsid w:val="00A377BC"/>
    <w:rsid w:val="00A37C70"/>
    <w:rsid w:val="00A41F86"/>
    <w:rsid w:val="00A430BE"/>
    <w:rsid w:val="00A4340C"/>
    <w:rsid w:val="00A4776F"/>
    <w:rsid w:val="00A529E9"/>
    <w:rsid w:val="00A54310"/>
    <w:rsid w:val="00A54F9C"/>
    <w:rsid w:val="00A552A9"/>
    <w:rsid w:val="00A565BF"/>
    <w:rsid w:val="00A61E23"/>
    <w:rsid w:val="00A75C29"/>
    <w:rsid w:val="00A82BB2"/>
    <w:rsid w:val="00A83926"/>
    <w:rsid w:val="00A855D3"/>
    <w:rsid w:val="00A85A4C"/>
    <w:rsid w:val="00A87B61"/>
    <w:rsid w:val="00A87D8B"/>
    <w:rsid w:val="00A93988"/>
    <w:rsid w:val="00A93C0B"/>
    <w:rsid w:val="00A94C7E"/>
    <w:rsid w:val="00A96103"/>
    <w:rsid w:val="00A97124"/>
    <w:rsid w:val="00AA2B41"/>
    <w:rsid w:val="00AA751F"/>
    <w:rsid w:val="00AB458A"/>
    <w:rsid w:val="00AB496D"/>
    <w:rsid w:val="00AB4A85"/>
    <w:rsid w:val="00AB5839"/>
    <w:rsid w:val="00AC0510"/>
    <w:rsid w:val="00AC1E0E"/>
    <w:rsid w:val="00AC3F19"/>
    <w:rsid w:val="00AD38E4"/>
    <w:rsid w:val="00AD440A"/>
    <w:rsid w:val="00AD45EE"/>
    <w:rsid w:val="00AD4E4D"/>
    <w:rsid w:val="00AD6EF9"/>
    <w:rsid w:val="00AE5FC8"/>
    <w:rsid w:val="00AE688C"/>
    <w:rsid w:val="00AE76BF"/>
    <w:rsid w:val="00AF1FC0"/>
    <w:rsid w:val="00AF214F"/>
    <w:rsid w:val="00AF386C"/>
    <w:rsid w:val="00AF72F6"/>
    <w:rsid w:val="00B03C9D"/>
    <w:rsid w:val="00B04F66"/>
    <w:rsid w:val="00B118A3"/>
    <w:rsid w:val="00B14589"/>
    <w:rsid w:val="00B15409"/>
    <w:rsid w:val="00B15748"/>
    <w:rsid w:val="00B17535"/>
    <w:rsid w:val="00B21E43"/>
    <w:rsid w:val="00B21E88"/>
    <w:rsid w:val="00B21F67"/>
    <w:rsid w:val="00B21F6A"/>
    <w:rsid w:val="00B2654D"/>
    <w:rsid w:val="00B32E22"/>
    <w:rsid w:val="00B33137"/>
    <w:rsid w:val="00B3684F"/>
    <w:rsid w:val="00B47952"/>
    <w:rsid w:val="00B50EB7"/>
    <w:rsid w:val="00B5359B"/>
    <w:rsid w:val="00B60586"/>
    <w:rsid w:val="00B60F65"/>
    <w:rsid w:val="00B67069"/>
    <w:rsid w:val="00B670B4"/>
    <w:rsid w:val="00B67D19"/>
    <w:rsid w:val="00B71B67"/>
    <w:rsid w:val="00B72E76"/>
    <w:rsid w:val="00B7301C"/>
    <w:rsid w:val="00B734A1"/>
    <w:rsid w:val="00B77579"/>
    <w:rsid w:val="00B853DE"/>
    <w:rsid w:val="00B85B84"/>
    <w:rsid w:val="00B87928"/>
    <w:rsid w:val="00B95649"/>
    <w:rsid w:val="00B9575B"/>
    <w:rsid w:val="00B97711"/>
    <w:rsid w:val="00BA0346"/>
    <w:rsid w:val="00BA0A5C"/>
    <w:rsid w:val="00BA1870"/>
    <w:rsid w:val="00BA3AD2"/>
    <w:rsid w:val="00BA540D"/>
    <w:rsid w:val="00BB105F"/>
    <w:rsid w:val="00BB17CB"/>
    <w:rsid w:val="00BB1ADB"/>
    <w:rsid w:val="00BB4393"/>
    <w:rsid w:val="00BB4966"/>
    <w:rsid w:val="00BC3EA3"/>
    <w:rsid w:val="00BC704E"/>
    <w:rsid w:val="00BD2821"/>
    <w:rsid w:val="00BE1CD2"/>
    <w:rsid w:val="00BF1E91"/>
    <w:rsid w:val="00BF3A65"/>
    <w:rsid w:val="00BF3F49"/>
    <w:rsid w:val="00C04A64"/>
    <w:rsid w:val="00C04F80"/>
    <w:rsid w:val="00C05C35"/>
    <w:rsid w:val="00C07297"/>
    <w:rsid w:val="00C149B9"/>
    <w:rsid w:val="00C1594A"/>
    <w:rsid w:val="00C162F8"/>
    <w:rsid w:val="00C21EBD"/>
    <w:rsid w:val="00C223F7"/>
    <w:rsid w:val="00C2355B"/>
    <w:rsid w:val="00C25111"/>
    <w:rsid w:val="00C25162"/>
    <w:rsid w:val="00C303C2"/>
    <w:rsid w:val="00C309F6"/>
    <w:rsid w:val="00C332CE"/>
    <w:rsid w:val="00C34ACD"/>
    <w:rsid w:val="00C34DD9"/>
    <w:rsid w:val="00C40CE7"/>
    <w:rsid w:val="00C424D2"/>
    <w:rsid w:val="00C46957"/>
    <w:rsid w:val="00C5027F"/>
    <w:rsid w:val="00C513DF"/>
    <w:rsid w:val="00C559D8"/>
    <w:rsid w:val="00C609EC"/>
    <w:rsid w:val="00C61D51"/>
    <w:rsid w:val="00C6312A"/>
    <w:rsid w:val="00C6586E"/>
    <w:rsid w:val="00C65B68"/>
    <w:rsid w:val="00C65F7E"/>
    <w:rsid w:val="00C70955"/>
    <w:rsid w:val="00C71174"/>
    <w:rsid w:val="00C73186"/>
    <w:rsid w:val="00C73616"/>
    <w:rsid w:val="00C7497D"/>
    <w:rsid w:val="00C76782"/>
    <w:rsid w:val="00C7698C"/>
    <w:rsid w:val="00C807A8"/>
    <w:rsid w:val="00C815F2"/>
    <w:rsid w:val="00C822EA"/>
    <w:rsid w:val="00C83561"/>
    <w:rsid w:val="00C851C0"/>
    <w:rsid w:val="00C85B0C"/>
    <w:rsid w:val="00C865D0"/>
    <w:rsid w:val="00C86E4D"/>
    <w:rsid w:val="00C877ED"/>
    <w:rsid w:val="00C9089B"/>
    <w:rsid w:val="00C90D19"/>
    <w:rsid w:val="00C911BB"/>
    <w:rsid w:val="00C92BE5"/>
    <w:rsid w:val="00C9527A"/>
    <w:rsid w:val="00C975AB"/>
    <w:rsid w:val="00CA3449"/>
    <w:rsid w:val="00CA7121"/>
    <w:rsid w:val="00CA7859"/>
    <w:rsid w:val="00CB1160"/>
    <w:rsid w:val="00CB5A5B"/>
    <w:rsid w:val="00CB6F87"/>
    <w:rsid w:val="00CB6F8E"/>
    <w:rsid w:val="00CC3035"/>
    <w:rsid w:val="00CC3849"/>
    <w:rsid w:val="00CC4A70"/>
    <w:rsid w:val="00CC5D50"/>
    <w:rsid w:val="00CD4B89"/>
    <w:rsid w:val="00CE0BDC"/>
    <w:rsid w:val="00CE2047"/>
    <w:rsid w:val="00CE25D0"/>
    <w:rsid w:val="00CE2F73"/>
    <w:rsid w:val="00CE3F4B"/>
    <w:rsid w:val="00CE604F"/>
    <w:rsid w:val="00CE6C8C"/>
    <w:rsid w:val="00CF0500"/>
    <w:rsid w:val="00CF1300"/>
    <w:rsid w:val="00CF26D8"/>
    <w:rsid w:val="00CF2B50"/>
    <w:rsid w:val="00CF3059"/>
    <w:rsid w:val="00CF54C2"/>
    <w:rsid w:val="00D0030F"/>
    <w:rsid w:val="00D02339"/>
    <w:rsid w:val="00D034A7"/>
    <w:rsid w:val="00D04820"/>
    <w:rsid w:val="00D06AD4"/>
    <w:rsid w:val="00D10B3F"/>
    <w:rsid w:val="00D1705C"/>
    <w:rsid w:val="00D17B78"/>
    <w:rsid w:val="00D20012"/>
    <w:rsid w:val="00D20815"/>
    <w:rsid w:val="00D24945"/>
    <w:rsid w:val="00D26389"/>
    <w:rsid w:val="00D2719A"/>
    <w:rsid w:val="00D30873"/>
    <w:rsid w:val="00D30B3F"/>
    <w:rsid w:val="00D3235A"/>
    <w:rsid w:val="00D3557F"/>
    <w:rsid w:val="00D37654"/>
    <w:rsid w:val="00D426F5"/>
    <w:rsid w:val="00D42E0F"/>
    <w:rsid w:val="00D42FA1"/>
    <w:rsid w:val="00D46892"/>
    <w:rsid w:val="00D46BB0"/>
    <w:rsid w:val="00D51C03"/>
    <w:rsid w:val="00D52465"/>
    <w:rsid w:val="00D57D8B"/>
    <w:rsid w:val="00D64540"/>
    <w:rsid w:val="00D65715"/>
    <w:rsid w:val="00D6642E"/>
    <w:rsid w:val="00D72DB9"/>
    <w:rsid w:val="00D7569B"/>
    <w:rsid w:val="00D766AE"/>
    <w:rsid w:val="00D90123"/>
    <w:rsid w:val="00D90273"/>
    <w:rsid w:val="00D914F2"/>
    <w:rsid w:val="00D918DE"/>
    <w:rsid w:val="00D91CAC"/>
    <w:rsid w:val="00D92F24"/>
    <w:rsid w:val="00D9361E"/>
    <w:rsid w:val="00D93B10"/>
    <w:rsid w:val="00D94981"/>
    <w:rsid w:val="00DA1A48"/>
    <w:rsid w:val="00DB0119"/>
    <w:rsid w:val="00DB03DC"/>
    <w:rsid w:val="00DB0D4E"/>
    <w:rsid w:val="00DB2401"/>
    <w:rsid w:val="00DB329F"/>
    <w:rsid w:val="00DB5D80"/>
    <w:rsid w:val="00DB6164"/>
    <w:rsid w:val="00DB63C0"/>
    <w:rsid w:val="00DC4CB5"/>
    <w:rsid w:val="00DC6238"/>
    <w:rsid w:val="00DC6D0B"/>
    <w:rsid w:val="00DC6E85"/>
    <w:rsid w:val="00DC7FF7"/>
    <w:rsid w:val="00DD27FD"/>
    <w:rsid w:val="00DD493D"/>
    <w:rsid w:val="00DD5283"/>
    <w:rsid w:val="00DD5FD9"/>
    <w:rsid w:val="00DD765B"/>
    <w:rsid w:val="00DD7EA0"/>
    <w:rsid w:val="00DE0466"/>
    <w:rsid w:val="00DE0904"/>
    <w:rsid w:val="00DE20AE"/>
    <w:rsid w:val="00DE671C"/>
    <w:rsid w:val="00DF1357"/>
    <w:rsid w:val="00DF43C8"/>
    <w:rsid w:val="00DF5912"/>
    <w:rsid w:val="00DF59B9"/>
    <w:rsid w:val="00DF6574"/>
    <w:rsid w:val="00DF669F"/>
    <w:rsid w:val="00E002F7"/>
    <w:rsid w:val="00E02723"/>
    <w:rsid w:val="00E04F74"/>
    <w:rsid w:val="00E05B45"/>
    <w:rsid w:val="00E071B7"/>
    <w:rsid w:val="00E1112D"/>
    <w:rsid w:val="00E113DC"/>
    <w:rsid w:val="00E1361A"/>
    <w:rsid w:val="00E20F8F"/>
    <w:rsid w:val="00E228A6"/>
    <w:rsid w:val="00E23E90"/>
    <w:rsid w:val="00E26469"/>
    <w:rsid w:val="00E26BAA"/>
    <w:rsid w:val="00E2747E"/>
    <w:rsid w:val="00E3052C"/>
    <w:rsid w:val="00E30C03"/>
    <w:rsid w:val="00E32337"/>
    <w:rsid w:val="00E33C5A"/>
    <w:rsid w:val="00E35F60"/>
    <w:rsid w:val="00E3775C"/>
    <w:rsid w:val="00E40423"/>
    <w:rsid w:val="00E4067B"/>
    <w:rsid w:val="00E46529"/>
    <w:rsid w:val="00E46C48"/>
    <w:rsid w:val="00E51F76"/>
    <w:rsid w:val="00E52EEE"/>
    <w:rsid w:val="00E55580"/>
    <w:rsid w:val="00E55A61"/>
    <w:rsid w:val="00E55CBD"/>
    <w:rsid w:val="00E64FA8"/>
    <w:rsid w:val="00E734E6"/>
    <w:rsid w:val="00E75FD9"/>
    <w:rsid w:val="00E7768B"/>
    <w:rsid w:val="00E8179E"/>
    <w:rsid w:val="00E85B22"/>
    <w:rsid w:val="00E95B63"/>
    <w:rsid w:val="00E95F23"/>
    <w:rsid w:val="00E95FAC"/>
    <w:rsid w:val="00E96E92"/>
    <w:rsid w:val="00E970F9"/>
    <w:rsid w:val="00EA1085"/>
    <w:rsid w:val="00EA3ED5"/>
    <w:rsid w:val="00EA40AC"/>
    <w:rsid w:val="00EB082E"/>
    <w:rsid w:val="00EB134B"/>
    <w:rsid w:val="00EB1C97"/>
    <w:rsid w:val="00EB4577"/>
    <w:rsid w:val="00EB7290"/>
    <w:rsid w:val="00EC0639"/>
    <w:rsid w:val="00EC1D8C"/>
    <w:rsid w:val="00EC2096"/>
    <w:rsid w:val="00EC42AC"/>
    <w:rsid w:val="00ED0909"/>
    <w:rsid w:val="00ED14CD"/>
    <w:rsid w:val="00ED47A9"/>
    <w:rsid w:val="00ED67F0"/>
    <w:rsid w:val="00EE3944"/>
    <w:rsid w:val="00EE7207"/>
    <w:rsid w:val="00EF226C"/>
    <w:rsid w:val="00EF31D4"/>
    <w:rsid w:val="00EF6258"/>
    <w:rsid w:val="00EF6E8B"/>
    <w:rsid w:val="00EF7C07"/>
    <w:rsid w:val="00F023C8"/>
    <w:rsid w:val="00F04026"/>
    <w:rsid w:val="00F04DED"/>
    <w:rsid w:val="00F14500"/>
    <w:rsid w:val="00F20E6E"/>
    <w:rsid w:val="00F21594"/>
    <w:rsid w:val="00F219C5"/>
    <w:rsid w:val="00F232F4"/>
    <w:rsid w:val="00F24435"/>
    <w:rsid w:val="00F32305"/>
    <w:rsid w:val="00F33B65"/>
    <w:rsid w:val="00F344F5"/>
    <w:rsid w:val="00F375CF"/>
    <w:rsid w:val="00F41D06"/>
    <w:rsid w:val="00F503F3"/>
    <w:rsid w:val="00F51B2F"/>
    <w:rsid w:val="00F538E1"/>
    <w:rsid w:val="00F53D12"/>
    <w:rsid w:val="00F53EC4"/>
    <w:rsid w:val="00F60A8F"/>
    <w:rsid w:val="00F60DB9"/>
    <w:rsid w:val="00F60F4E"/>
    <w:rsid w:val="00F65C1E"/>
    <w:rsid w:val="00F65F0D"/>
    <w:rsid w:val="00F66651"/>
    <w:rsid w:val="00F70426"/>
    <w:rsid w:val="00F70FC7"/>
    <w:rsid w:val="00F731A4"/>
    <w:rsid w:val="00F73718"/>
    <w:rsid w:val="00F74686"/>
    <w:rsid w:val="00F757B1"/>
    <w:rsid w:val="00F80344"/>
    <w:rsid w:val="00F8171D"/>
    <w:rsid w:val="00F85E5B"/>
    <w:rsid w:val="00F9166C"/>
    <w:rsid w:val="00F926CF"/>
    <w:rsid w:val="00F926E9"/>
    <w:rsid w:val="00F938C2"/>
    <w:rsid w:val="00F93C8D"/>
    <w:rsid w:val="00F942E8"/>
    <w:rsid w:val="00F947F4"/>
    <w:rsid w:val="00F96D62"/>
    <w:rsid w:val="00FA3EEC"/>
    <w:rsid w:val="00FA77C1"/>
    <w:rsid w:val="00FB175A"/>
    <w:rsid w:val="00FB4FB2"/>
    <w:rsid w:val="00FB61A9"/>
    <w:rsid w:val="00FC0043"/>
    <w:rsid w:val="00FC4BBB"/>
    <w:rsid w:val="00FC6B22"/>
    <w:rsid w:val="00FD1ED4"/>
    <w:rsid w:val="00FD2407"/>
    <w:rsid w:val="00FD306A"/>
    <w:rsid w:val="00FD3222"/>
    <w:rsid w:val="00FD36D9"/>
    <w:rsid w:val="00FD3F0F"/>
    <w:rsid w:val="00FD4320"/>
    <w:rsid w:val="00FD57F5"/>
    <w:rsid w:val="00FD614D"/>
    <w:rsid w:val="00FD7DC7"/>
    <w:rsid w:val="00FD7E58"/>
    <w:rsid w:val="00FE0A31"/>
    <w:rsid w:val="00FE0DB5"/>
    <w:rsid w:val="00FE1E37"/>
    <w:rsid w:val="00FE34DB"/>
    <w:rsid w:val="00FE3EEB"/>
    <w:rsid w:val="00FE446D"/>
    <w:rsid w:val="00FE621C"/>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52AC5"/>
  <w15:docId w15:val="{06F15657-F4FC-40CE-9BC8-975B8C22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uiPriority w:val="9"/>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uiPriority w:val="9"/>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uiPriority w:val="9"/>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39EC"/>
    <w:pPr>
      <w:tabs>
        <w:tab w:val="center" w:pos="4513"/>
        <w:tab w:val="right" w:pos="9026"/>
      </w:tabs>
    </w:pPr>
  </w:style>
  <w:style w:type="character" w:customStyle="1" w:styleId="HeaderChar">
    <w:name w:val="Header Char"/>
    <w:basedOn w:val="DefaultParagraphFont"/>
    <w:link w:val="Header"/>
    <w:rsid w:val="005F39EC"/>
    <w:rPr>
      <w:spacing w:val="2"/>
    </w:rPr>
  </w:style>
  <w:style w:type="paragraph" w:styleId="Footer">
    <w:name w:val="footer"/>
    <w:basedOn w:val="Normal"/>
    <w:link w:val="FooterChar"/>
    <w:rsid w:val="00034A7D"/>
    <w:pPr>
      <w:spacing w:line="190" w:lineRule="atLeast"/>
      <w:ind w:right="-340"/>
      <w:jc w:val="right"/>
    </w:pPr>
    <w:rPr>
      <w:sz w:val="16"/>
    </w:rPr>
  </w:style>
  <w:style w:type="character" w:customStyle="1" w:styleId="FooterChar">
    <w:name w:val="Footer Char"/>
    <w:basedOn w:val="DefaultParagraphFont"/>
    <w:link w:val="Footer"/>
    <w:rsid w:val="00034A7D"/>
    <w:rPr>
      <w:spacing w:val="2"/>
      <w:sz w:val="16"/>
    </w:rPr>
  </w:style>
  <w:style w:type="paragraph" w:styleId="BalloonText">
    <w:name w:val="Balloon Text"/>
    <w:basedOn w:val="Normal"/>
    <w:link w:val="BalloonTextChar"/>
    <w:uiPriority w:val="99"/>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uiPriority w:val="99"/>
    <w:qFormat/>
    <w:rsid w:val="00B2654D"/>
    <w:pPr>
      <w:spacing w:before="120" w:after="120"/>
    </w:pPr>
  </w:style>
  <w:style w:type="character" w:customStyle="1" w:styleId="BodyTextChar">
    <w:name w:val="Body Text Char"/>
    <w:basedOn w:val="DefaultParagraphFont"/>
    <w:link w:val="BodyText"/>
    <w:uiPriority w:val="99"/>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462969"/>
    <w:pPr>
      <w:tabs>
        <w:tab w:val="right" w:leader="dot" w:pos="8080"/>
      </w:tabs>
      <w:spacing w:after="120"/>
      <w:ind w:right="567"/>
    </w:pPr>
    <w:rPr>
      <w:noProof/>
    </w:rPr>
  </w:style>
  <w:style w:type="paragraph" w:styleId="TOC3">
    <w:name w:val="toc 3"/>
    <w:basedOn w:val="Normal"/>
    <w:next w:val="Normal"/>
    <w:autoRedefine/>
    <w:uiPriority w:val="39"/>
    <w:unhideWhenUsed/>
    <w:rsid w:val="00462969"/>
    <w:pPr>
      <w:tabs>
        <w:tab w:val="right" w:leader="dot" w:pos="8080"/>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aliases w:val="E2table number"/>
    <w:basedOn w:val="Normal"/>
    <w:next w:val="BodyTextAfterListTable"/>
    <w:link w:val="CaptionChar"/>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462969"/>
    <w:pPr>
      <w:tabs>
        <w:tab w:val="right" w:leader="dot" w:pos="8080"/>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1"/>
      </w:numPr>
      <w:contextualSpacing/>
    </w:pPr>
  </w:style>
  <w:style w:type="paragraph" w:styleId="ListBullet5">
    <w:name w:val="List Bullet 5"/>
    <w:basedOn w:val="Normal"/>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styleId="ListParagraph">
    <w:name w:val="List Paragraph"/>
    <w:basedOn w:val="Normal"/>
    <w:link w:val="ListParagraphChar"/>
    <w:uiPriority w:val="34"/>
    <w:qFormat/>
    <w:rsid w:val="005B190C"/>
    <w:pPr>
      <w:spacing w:line="240" w:lineRule="auto"/>
      <w:ind w:left="720"/>
      <w:contextualSpacing/>
    </w:pPr>
    <w:rPr>
      <w:rFonts w:ascii="Arial" w:hAnsi="Arial" w:cs="Arial"/>
      <w:spacing w:val="0"/>
      <w:sz w:val="22"/>
      <w:szCs w:val="22"/>
    </w:rPr>
  </w:style>
  <w:style w:type="character" w:customStyle="1" w:styleId="ListParagraphChar">
    <w:name w:val="List Paragraph Char"/>
    <w:basedOn w:val="DefaultParagraphFont"/>
    <w:link w:val="ListParagraph"/>
    <w:uiPriority w:val="34"/>
    <w:locked/>
    <w:rsid w:val="005B190C"/>
    <w:rPr>
      <w:rFonts w:ascii="Arial" w:hAnsi="Arial" w:cs="Arial"/>
      <w:sz w:val="22"/>
      <w:szCs w:val="22"/>
    </w:rPr>
  </w:style>
  <w:style w:type="character" w:styleId="FollowedHyperlink">
    <w:name w:val="FollowedHyperlink"/>
    <w:basedOn w:val="DefaultParagraphFont"/>
    <w:uiPriority w:val="99"/>
    <w:semiHidden/>
    <w:unhideWhenUsed/>
    <w:rsid w:val="006E6405"/>
    <w:rPr>
      <w:color w:val="9A64A9" w:themeColor="followedHyperlink"/>
      <w:u w:val="single"/>
    </w:rPr>
  </w:style>
  <w:style w:type="character" w:customStyle="1" w:styleId="fontstyle21">
    <w:name w:val="fontstyle21"/>
    <w:basedOn w:val="DefaultParagraphFont"/>
    <w:rsid w:val="00E113DC"/>
    <w:rPr>
      <w:rFonts w:ascii="Helvetica" w:hAnsi="Helvetica" w:cs="Helvetica" w:hint="default"/>
      <w:b w:val="0"/>
      <w:bCs w:val="0"/>
      <w:i w:val="0"/>
      <w:iCs w:val="0"/>
      <w:color w:val="000000"/>
      <w:sz w:val="20"/>
      <w:szCs w:val="20"/>
    </w:rPr>
  </w:style>
  <w:style w:type="character" w:customStyle="1" w:styleId="CaptionChar">
    <w:name w:val="Caption Char"/>
    <w:aliases w:val="E2table number Char"/>
    <w:basedOn w:val="DefaultParagraphFont"/>
    <w:link w:val="Caption"/>
    <w:uiPriority w:val="35"/>
    <w:rsid w:val="00676CC2"/>
    <w:rPr>
      <w:b/>
      <w:iCs/>
      <w:color w:val="003263" w:themeColor="text2"/>
      <w:spacing w:val="2"/>
      <w:sz w:val="17"/>
      <w:szCs w:val="18"/>
    </w:rPr>
  </w:style>
  <w:style w:type="paragraph" w:customStyle="1" w:styleId="Para2">
    <w:name w:val="Para_2"/>
    <w:basedOn w:val="Normal"/>
    <w:rsid w:val="009B153B"/>
    <w:pPr>
      <w:spacing w:after="120" w:line="240" w:lineRule="auto"/>
      <w:ind w:left="1134"/>
      <w:jc w:val="both"/>
    </w:pPr>
    <w:rPr>
      <w:rFonts w:ascii="Arial" w:hAnsi="Arial" w:cs="Arial"/>
      <w:color w:val="000000"/>
      <w:spacing w:val="0"/>
      <w:sz w:val="22"/>
      <w:szCs w:val="22"/>
      <w:lang w:val="en-GB"/>
    </w:rPr>
  </w:style>
  <w:style w:type="character" w:customStyle="1" w:styleId="BalloonTextChar">
    <w:name w:val="Balloon Text Char"/>
    <w:basedOn w:val="DefaultParagraphFont"/>
    <w:link w:val="BalloonText"/>
    <w:uiPriority w:val="99"/>
    <w:semiHidden/>
    <w:rsid w:val="009B153B"/>
    <w:rPr>
      <w:rFonts w:ascii="Tahoma" w:hAnsi="Tahoma" w:cs="Tahoma"/>
      <w:spacing w:val="2"/>
      <w:sz w:val="16"/>
      <w:szCs w:val="16"/>
    </w:rPr>
  </w:style>
  <w:style w:type="character" w:customStyle="1" w:styleId="apple-converted-space">
    <w:name w:val="apple-converted-space"/>
    <w:basedOn w:val="DefaultParagraphFont"/>
    <w:rsid w:val="009B153B"/>
  </w:style>
  <w:style w:type="character" w:customStyle="1" w:styleId="Heading1Char">
    <w:name w:val="Heading 1 Char"/>
    <w:basedOn w:val="DefaultParagraphFont"/>
    <w:link w:val="Heading1"/>
    <w:uiPriority w:val="9"/>
    <w:rsid w:val="009B153B"/>
    <w:rPr>
      <w:rFonts w:asciiTheme="majorHAnsi" w:hAnsiTheme="majorHAnsi"/>
      <w:b/>
      <w:color w:val="8ACED7" w:themeColor="accent1"/>
      <w:spacing w:val="6"/>
      <w:sz w:val="56"/>
    </w:rPr>
  </w:style>
  <w:style w:type="character" w:styleId="Strong">
    <w:name w:val="Strong"/>
    <w:basedOn w:val="DefaultParagraphFont"/>
    <w:uiPriority w:val="22"/>
    <w:qFormat/>
    <w:rsid w:val="009B153B"/>
    <w:rPr>
      <w:b/>
      <w:bCs/>
    </w:rPr>
  </w:style>
  <w:style w:type="character" w:customStyle="1" w:styleId="Heading3Char">
    <w:name w:val="Heading 3 Char"/>
    <w:basedOn w:val="DefaultParagraphFont"/>
    <w:link w:val="Heading3"/>
    <w:uiPriority w:val="9"/>
    <w:rsid w:val="009B153B"/>
    <w:rPr>
      <w:rFonts w:asciiTheme="majorHAnsi" w:hAnsiTheme="majorHAnsi"/>
      <w:b/>
      <w:color w:val="003263" w:themeColor="text2"/>
      <w:sz w:val="22"/>
    </w:rPr>
  </w:style>
  <w:style w:type="character" w:styleId="CommentReference">
    <w:name w:val="annotation reference"/>
    <w:basedOn w:val="DefaultParagraphFont"/>
    <w:uiPriority w:val="99"/>
    <w:unhideWhenUsed/>
    <w:rsid w:val="009B153B"/>
    <w:rPr>
      <w:sz w:val="16"/>
      <w:szCs w:val="16"/>
    </w:rPr>
  </w:style>
  <w:style w:type="paragraph" w:styleId="CommentText">
    <w:name w:val="annotation text"/>
    <w:basedOn w:val="Normal"/>
    <w:link w:val="CommentTextChar"/>
    <w:uiPriority w:val="99"/>
    <w:unhideWhenUsed/>
    <w:rsid w:val="009B153B"/>
    <w:pPr>
      <w:spacing w:after="200" w:line="240" w:lineRule="auto"/>
    </w:pPr>
    <w:rPr>
      <w:rFonts w:ascii="Helvetica" w:eastAsia="Calibri" w:hAnsi="Helvetica"/>
      <w:spacing w:val="0"/>
      <w:sz w:val="20"/>
      <w:szCs w:val="20"/>
      <w:lang w:eastAsia="en-US"/>
    </w:rPr>
  </w:style>
  <w:style w:type="character" w:customStyle="1" w:styleId="CommentTextChar">
    <w:name w:val="Comment Text Char"/>
    <w:basedOn w:val="DefaultParagraphFont"/>
    <w:link w:val="CommentText"/>
    <w:uiPriority w:val="99"/>
    <w:rsid w:val="009B153B"/>
    <w:rPr>
      <w:rFonts w:ascii="Helvetica" w:eastAsia="Calibri" w:hAnsi="Helvetica"/>
      <w:sz w:val="20"/>
      <w:szCs w:val="20"/>
      <w:lang w:eastAsia="en-US"/>
    </w:rPr>
  </w:style>
  <w:style w:type="character" w:customStyle="1" w:styleId="Heading2Char">
    <w:name w:val="Heading 2 Char"/>
    <w:basedOn w:val="DefaultParagraphFont"/>
    <w:link w:val="Heading2"/>
    <w:uiPriority w:val="9"/>
    <w:rsid w:val="009B153B"/>
    <w:rPr>
      <w:rFonts w:asciiTheme="majorHAnsi" w:hAnsiTheme="majorHAnsi"/>
      <w:b/>
      <w:caps/>
      <w:color w:val="003263" w:themeColor="text2"/>
      <w:spacing w:val="6"/>
      <w:sz w:val="24"/>
    </w:rPr>
  </w:style>
  <w:style w:type="character" w:customStyle="1" w:styleId="UnresolvedMention1">
    <w:name w:val="Unresolved Mention1"/>
    <w:basedOn w:val="DefaultParagraphFont"/>
    <w:uiPriority w:val="99"/>
    <w:semiHidden/>
    <w:unhideWhenUsed/>
    <w:rsid w:val="009B153B"/>
    <w:rPr>
      <w:color w:val="605E5C"/>
      <w:shd w:val="clear" w:color="auto" w:fill="E1DFDD"/>
    </w:rPr>
  </w:style>
  <w:style w:type="table" w:customStyle="1" w:styleId="MWTableGrid">
    <w:name w:val="MW Table Grid"/>
    <w:basedOn w:val="TableNormal"/>
    <w:uiPriority w:val="99"/>
    <w:rsid w:val="009B153B"/>
    <w:pPr>
      <w:spacing w:before="60" w:after="60"/>
    </w:pPr>
    <w:rPr>
      <w:color w:val="231F20" w:themeColor="text1"/>
      <w:sz w:val="20"/>
      <w:szCs w:val="20"/>
    </w:r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styleId="CommentSubject">
    <w:name w:val="annotation subject"/>
    <w:basedOn w:val="CommentText"/>
    <w:next w:val="CommentText"/>
    <w:link w:val="CommentSubjectChar"/>
    <w:uiPriority w:val="99"/>
    <w:semiHidden/>
    <w:unhideWhenUsed/>
    <w:rsid w:val="009B153B"/>
    <w:pPr>
      <w:spacing w:after="0"/>
    </w:pPr>
    <w:rPr>
      <w:rFonts w:ascii="Arial" w:eastAsia="Times New Roman" w:hAnsi="Arial" w:cs="Arial"/>
      <w:b/>
      <w:bCs/>
      <w:lang w:eastAsia="en-AU"/>
    </w:rPr>
  </w:style>
  <w:style w:type="character" w:customStyle="1" w:styleId="CommentSubjectChar">
    <w:name w:val="Comment Subject Char"/>
    <w:basedOn w:val="CommentTextChar"/>
    <w:link w:val="CommentSubject"/>
    <w:uiPriority w:val="99"/>
    <w:semiHidden/>
    <w:rsid w:val="009B153B"/>
    <w:rPr>
      <w:rFonts w:ascii="Arial" w:eastAsia="Calibri" w:hAnsi="Arial" w:cs="Arial"/>
      <w:b/>
      <w:bCs/>
      <w:sz w:val="20"/>
      <w:szCs w:val="20"/>
      <w:lang w:eastAsia="en-US"/>
    </w:rPr>
  </w:style>
  <w:style w:type="character" w:customStyle="1" w:styleId="fontstyle01">
    <w:name w:val="fontstyle01"/>
    <w:basedOn w:val="DefaultParagraphFont"/>
    <w:rsid w:val="009B153B"/>
    <w:rPr>
      <w:rFonts w:ascii="Verdana" w:hAnsi="Verdana" w:hint="default"/>
      <w:b w:val="0"/>
      <w:bCs w:val="0"/>
      <w:i w:val="0"/>
      <w:iCs w:val="0"/>
      <w:color w:val="000000"/>
      <w:sz w:val="20"/>
      <w:szCs w:val="20"/>
    </w:rPr>
  </w:style>
  <w:style w:type="character" w:customStyle="1" w:styleId="UnresolvedMention2">
    <w:name w:val="Unresolved Mention2"/>
    <w:basedOn w:val="DefaultParagraphFont"/>
    <w:uiPriority w:val="99"/>
    <w:semiHidden/>
    <w:unhideWhenUsed/>
    <w:rsid w:val="009B153B"/>
    <w:rPr>
      <w:color w:val="605E5C"/>
      <w:shd w:val="clear" w:color="auto" w:fill="E1DFDD"/>
    </w:rPr>
  </w:style>
  <w:style w:type="paragraph" w:customStyle="1" w:styleId="pf0">
    <w:name w:val="pf0"/>
    <w:basedOn w:val="Normal"/>
    <w:rsid w:val="00750759"/>
    <w:pPr>
      <w:spacing w:before="100" w:beforeAutospacing="1" w:after="100" w:afterAutospacing="1" w:line="240" w:lineRule="auto"/>
    </w:pPr>
    <w:rPr>
      <w:rFonts w:ascii="Times New Roman" w:hAnsi="Times New Roman"/>
      <w:spacing w:val="0"/>
      <w:sz w:val="24"/>
      <w:szCs w:val="24"/>
    </w:rPr>
  </w:style>
  <w:style w:type="character" w:customStyle="1" w:styleId="cf01">
    <w:name w:val="cf01"/>
    <w:basedOn w:val="DefaultParagraphFont"/>
    <w:rsid w:val="00750759"/>
    <w:rPr>
      <w:rFonts w:ascii="Segoe UI" w:hAnsi="Segoe UI" w:cs="Segoe UI" w:hint="default"/>
      <w:sz w:val="18"/>
      <w:szCs w:val="18"/>
    </w:rPr>
  </w:style>
  <w:style w:type="paragraph" w:customStyle="1" w:styleId="Spacebeforetable">
    <w:name w:val="Space before table"/>
    <w:basedOn w:val="Normal"/>
    <w:qFormat/>
    <w:rsid w:val="00BF1E91"/>
    <w:pPr>
      <w:spacing w:after="60"/>
    </w:pPr>
    <w:rPr>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101486">
      <w:bodyDiv w:val="1"/>
      <w:marLeft w:val="0"/>
      <w:marRight w:val="0"/>
      <w:marTop w:val="0"/>
      <w:marBottom w:val="0"/>
      <w:divBdr>
        <w:top w:val="none" w:sz="0" w:space="0" w:color="auto"/>
        <w:left w:val="none" w:sz="0" w:space="0" w:color="auto"/>
        <w:bottom w:val="none" w:sz="0" w:space="0" w:color="auto"/>
        <w:right w:val="none" w:sz="0" w:space="0" w:color="auto"/>
      </w:divBdr>
    </w:div>
    <w:div w:id="1536192754">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melbournewater.com.au/media/533/download"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esignmanual.com.au/download-idm"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lbournewater.com.au/planning-and-building/developer-guides-and-resources/standards-and-specifications/constructed-0" TargetMode="External"/><Relationship Id="rId20" Type="http://schemas.openxmlformats.org/officeDocument/2006/relationships/hyperlink" Target="http://arr.ga.gov.a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http://www.musicauditor.com.au" TargetMode="External"/><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s://www.publish.csiro.au/book/4974/" TargetMode="External"/><Relationship Id="rId23" Type="http://schemas.openxmlformats.org/officeDocument/2006/relationships/hyperlink" Target="https://www.musicauditor.com.au/" TargetMode="Externa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yperlink" Target="https://www.geelongaustralia.com.au/stormwater/documents/item/8d70ad1c7ad1e12.aspx" TargetMode="External"/><Relationship Id="rId31" Type="http://schemas.openxmlformats.org/officeDocument/2006/relationships/hyperlink" Target="https://www.musicauditor.com.au/wetlandanalysistoo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melbournewater.com.au/planning-and-building/developer-guides-and-resources/standards-and-specifications/constructed-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60D2864-4030-440C-A702-050CC8AB710A}">
  <ds:schemaRefs>
    <ds:schemaRef ds:uri="http://schemas.openxmlformats.org/officeDocument/2006/bibliography"/>
  </ds:schemaRefs>
</ds:datastoreItem>
</file>

<file path=customXml/itemProps2.xml><?xml version="1.0" encoding="utf-8"?>
<ds:datastoreItem xmlns:ds="http://schemas.openxmlformats.org/officeDocument/2006/customXml" ds:itemID="{ED800FDC-3CF6-48D9-9029-DF0C48FE5D9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22</TotalTime>
  <Pages>36</Pages>
  <Words>8529</Words>
  <Characters>48621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Barron</dc:creator>
  <cp:keywords/>
  <dc:description/>
  <cp:lastModifiedBy>Ryan White</cp:lastModifiedBy>
  <cp:revision>5</cp:revision>
  <cp:lastPrinted>2024-12-13T03:57:00Z</cp:lastPrinted>
  <dcterms:created xsi:type="dcterms:W3CDTF">2024-12-06T05:16:00Z</dcterms:created>
  <dcterms:modified xsi:type="dcterms:W3CDTF">2024-12-13T03:57:00Z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