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96" w:type="dxa"/>
        <w:tblInd w:w="3799" w:type="dxa"/>
        <w:tblLook w:val="04A0" w:firstRow="1" w:lastRow="0" w:firstColumn="1" w:lastColumn="0" w:noHBand="0" w:noVBand="1"/>
      </w:tblPr>
      <w:tblGrid>
        <w:gridCol w:w="2948"/>
        <w:gridCol w:w="2948"/>
      </w:tblGrid>
      <w:tr w:rsidR="002A7D53"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00B55F08">
        <w:tc>
          <w:tcPr>
            <w:tcW w:w="5896" w:type="dxa"/>
            <w:gridSpan w:val="2"/>
          </w:tcPr>
          <w:p w14:paraId="3EDF8AE4" w14:textId="4D347A08" w:rsidR="00AF0C8C" w:rsidRDefault="00B55F08" w:rsidP="00B55F08">
            <w:pPr>
              <w:pStyle w:val="Title"/>
              <w:jc w:val="left"/>
            </w:pPr>
            <w:r w:rsidRPr="00985C43">
              <w:t>special rate</w:t>
            </w:r>
            <w:r>
              <w:t>s</w:t>
            </w:r>
            <w:r w:rsidRPr="00985C43">
              <w:t xml:space="preserve"> and charge</w:t>
            </w:r>
            <w:r>
              <w:t>s</w:t>
            </w:r>
          </w:p>
          <w:p w14:paraId="20E03056" w14:textId="43DA0185" w:rsidR="002A7D53" w:rsidRPr="00236CCB" w:rsidRDefault="00234062" w:rsidP="00B55F08">
            <w:pPr>
              <w:pStyle w:val="Title"/>
              <w:jc w:val="left"/>
            </w:pPr>
            <w:r>
              <w:t>POLICY</w:t>
            </w:r>
          </w:p>
          <w:p w14:paraId="53AB0F1C" w14:textId="77777777" w:rsidR="0032135D" w:rsidRDefault="0032135D" w:rsidP="00B55F08">
            <w:pPr>
              <w:spacing w:before="120" w:after="200"/>
              <w:jc w:val="left"/>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489077"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B55F08">
            <w:pPr>
              <w:jc w:val="left"/>
            </w:pPr>
          </w:p>
        </w:tc>
      </w:tr>
      <w:tr w:rsidR="00DD4F5F" w14:paraId="43A84183" w14:textId="77777777" w:rsidTr="00CB43A1">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492235AD" w14:textId="03538156" w:rsidR="00440A74" w:rsidRDefault="00B55F08" w:rsidP="00E209E0">
            <w:pPr>
              <w:pStyle w:val="Subtitle"/>
              <w:spacing w:line="240" w:lineRule="auto"/>
              <w:rPr>
                <w:sz w:val="24"/>
                <w:szCs w:val="24"/>
              </w:rPr>
            </w:pPr>
            <w:r>
              <w:rPr>
                <w:sz w:val="24"/>
                <w:szCs w:val="24"/>
              </w:rPr>
              <w:t>3</w:t>
            </w:r>
          </w:p>
          <w:p w14:paraId="616D92DE" w14:textId="35957C56" w:rsidR="00292D82" w:rsidRPr="00292D82" w:rsidRDefault="00292D82" w:rsidP="00E209E0">
            <w:pPr>
              <w:spacing w:line="240" w:lineRule="auto"/>
              <w:rPr>
                <w:b/>
                <w:bCs/>
                <w:i/>
                <w:iCs/>
              </w:rPr>
            </w:pPr>
          </w:p>
        </w:tc>
      </w:tr>
      <w:tr w:rsidR="00DD4F5F" w14:paraId="62AD0335" w14:textId="77777777" w:rsidTr="00CB43A1">
        <w:trPr>
          <w:trHeight w:val="964"/>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1045D946" w14:textId="42CFBCA5" w:rsidR="00D44FD6" w:rsidRPr="00FF1DB0" w:rsidRDefault="00292D82" w:rsidP="00B55F08">
            <w:pPr>
              <w:pStyle w:val="Subtitle"/>
              <w:spacing w:line="240" w:lineRule="auto"/>
            </w:pPr>
            <w:r>
              <w:rPr>
                <w:caps w:val="0"/>
                <w:sz w:val="24"/>
                <w:szCs w:val="24"/>
              </w:rPr>
              <w:t>Council</w:t>
            </w:r>
          </w:p>
        </w:tc>
      </w:tr>
      <w:tr w:rsidR="00DD4F5F" w14:paraId="415280DB" w14:textId="77777777" w:rsidTr="00CB43A1">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26690828" w:rsidR="00DD4F5F" w:rsidRPr="00FB3233" w:rsidRDefault="006F1B90" w:rsidP="00E209E0">
            <w:pPr>
              <w:pStyle w:val="Subtitle"/>
              <w:spacing w:line="240" w:lineRule="auto"/>
              <w:rPr>
                <w:sz w:val="24"/>
                <w:szCs w:val="24"/>
              </w:rPr>
            </w:pPr>
            <w:r>
              <w:rPr>
                <w:sz w:val="24"/>
                <w:szCs w:val="24"/>
              </w:rPr>
              <w:t>9</w:t>
            </w:r>
            <w:r w:rsidR="00B55F08">
              <w:rPr>
                <w:sz w:val="24"/>
                <w:szCs w:val="24"/>
              </w:rPr>
              <w:t xml:space="preserve"> december 2025</w:t>
            </w:r>
          </w:p>
        </w:tc>
      </w:tr>
      <w:tr w:rsidR="00DD4F5F" w14:paraId="5ED3B142" w14:textId="77777777" w:rsidTr="00CB43A1">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673ABB81" w:rsidR="00DD4F5F" w:rsidRPr="00FB3233" w:rsidRDefault="006F1B90" w:rsidP="00E209E0">
            <w:pPr>
              <w:pStyle w:val="Subtitle"/>
              <w:spacing w:line="240" w:lineRule="auto"/>
              <w:rPr>
                <w:sz w:val="24"/>
                <w:szCs w:val="24"/>
              </w:rPr>
            </w:pPr>
            <w:r>
              <w:rPr>
                <w:sz w:val="24"/>
                <w:szCs w:val="24"/>
              </w:rPr>
              <w:t>9</w:t>
            </w:r>
            <w:r w:rsidR="00C048BA">
              <w:rPr>
                <w:sz w:val="24"/>
                <w:szCs w:val="24"/>
              </w:rPr>
              <w:t xml:space="preserve"> </w:t>
            </w:r>
            <w:r w:rsidR="00B55F08">
              <w:rPr>
                <w:sz w:val="24"/>
                <w:szCs w:val="24"/>
              </w:rPr>
              <w:t>december 2029</w:t>
            </w:r>
          </w:p>
        </w:tc>
      </w:tr>
      <w:tr w:rsidR="00DD4F5F" w14:paraId="5CB817BD" w14:textId="77777777" w:rsidTr="00B55F08">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3013AEE9" w14:textId="344905BF" w:rsidR="00DD4F5F" w:rsidRDefault="00B55F08" w:rsidP="00B55F08">
            <w:pPr>
              <w:pStyle w:val="Subtitle"/>
              <w:spacing w:line="240" w:lineRule="auto"/>
              <w:jc w:val="left"/>
              <w:rPr>
                <w:sz w:val="24"/>
                <w:szCs w:val="24"/>
              </w:rPr>
            </w:pPr>
            <w:r>
              <w:rPr>
                <w:sz w:val="24"/>
                <w:szCs w:val="24"/>
              </w:rPr>
              <w:t>special rates and charges program manager</w:t>
            </w:r>
          </w:p>
          <w:p w14:paraId="7FF45D9C" w14:textId="706E3D7C" w:rsidR="00D44FD6" w:rsidRPr="00390E88" w:rsidRDefault="00D44FD6" w:rsidP="00B55F08">
            <w:pPr>
              <w:spacing w:line="240" w:lineRule="auto"/>
              <w:jc w:val="left"/>
              <w:rPr>
                <w:b/>
                <w:bCs/>
                <w:i/>
                <w:iCs/>
              </w:rPr>
            </w:pPr>
          </w:p>
        </w:tc>
      </w:tr>
      <w:tr w:rsidR="00FB3233" w14:paraId="67D4054C" w14:textId="77777777" w:rsidTr="00B55F08">
        <w:trPr>
          <w:trHeight w:val="964"/>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3FE1B200" w14:textId="66BA3419" w:rsidR="00FB3233" w:rsidRDefault="00B55F08" w:rsidP="00B55F08">
            <w:pPr>
              <w:pStyle w:val="Subtitle"/>
              <w:spacing w:line="240" w:lineRule="auto"/>
              <w:jc w:val="left"/>
              <w:rPr>
                <w:sz w:val="24"/>
                <w:szCs w:val="24"/>
              </w:rPr>
            </w:pPr>
            <w:r>
              <w:rPr>
                <w:sz w:val="24"/>
                <w:szCs w:val="24"/>
              </w:rPr>
              <w:t>executive director city infrastructure</w:t>
            </w:r>
          </w:p>
          <w:p w14:paraId="04A277A1" w14:textId="54E529D1" w:rsidR="00390E88" w:rsidRPr="00440A74" w:rsidRDefault="00390E88" w:rsidP="00B55F08">
            <w:pPr>
              <w:spacing w:line="240" w:lineRule="auto"/>
              <w:jc w:val="left"/>
              <w:rPr>
                <w:b/>
                <w:bCs/>
                <w:i/>
                <w:iCs/>
              </w:rPr>
            </w:pP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452857C0" w:rsidR="00292D82" w:rsidRPr="008A5D1E" w:rsidRDefault="00292D82" w:rsidP="002A7D53">
      <w:pPr>
        <w:rPr>
          <w:b/>
          <w:bCs/>
          <w:i/>
          <w:iCs/>
        </w:rPr>
        <w:sectPr w:rsidR="00292D82"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538252799"/>
        <w:docPartObj>
          <w:docPartGallery w:val="Table of Contents"/>
          <w:docPartUnique/>
        </w:docPartObj>
      </w:sdtPr>
      <w:sdtEndPr>
        <w:rPr>
          <w:bCs/>
          <w:noProof/>
        </w:rPr>
      </w:sdtEndPr>
      <w:sdtContent>
        <w:p w14:paraId="5F97F7CC" w14:textId="2DA78E4C" w:rsidR="0098289D" w:rsidRDefault="0098289D">
          <w:pPr>
            <w:pStyle w:val="TOCHeading"/>
            <w:framePr w:wrap="around"/>
          </w:pPr>
          <w:r>
            <w:t>Table of Contents</w:t>
          </w:r>
        </w:p>
        <w:p w14:paraId="6937525E" w14:textId="5FC84FB6" w:rsidR="0098289D" w:rsidRDefault="0098289D">
          <w:pPr>
            <w:pStyle w:val="TOC1"/>
            <w:rPr>
              <w:rFonts w:eastAsiaTheme="minorEastAsia" w:cstheme="minorBidi"/>
              <w:b w:val="0"/>
              <w:color w:val="auto"/>
              <w:spacing w:val="0"/>
              <w:kern w:val="2"/>
              <w:sz w:val="24"/>
              <w:szCs w:val="24"/>
              <w14:ligatures w14:val="standardContextual"/>
            </w:rPr>
          </w:pPr>
          <w:r>
            <w:fldChar w:fldCharType="begin"/>
          </w:r>
          <w:r>
            <w:instrText xml:space="preserve"> TOC \o "1-3" \h \z \u </w:instrText>
          </w:r>
          <w:r>
            <w:fldChar w:fldCharType="separate"/>
          </w:r>
          <w:hyperlink w:anchor="_Toc214566453" w:history="1">
            <w:r w:rsidRPr="00FB7DFF">
              <w:rPr>
                <w:rStyle w:val="Hyperlink"/>
              </w:rPr>
              <w:t>Introduction</w:t>
            </w:r>
            <w:r>
              <w:rPr>
                <w:webHidden/>
              </w:rPr>
              <w:tab/>
            </w:r>
            <w:r>
              <w:rPr>
                <w:webHidden/>
              </w:rPr>
              <w:fldChar w:fldCharType="begin"/>
            </w:r>
            <w:r>
              <w:rPr>
                <w:webHidden/>
              </w:rPr>
              <w:instrText xml:space="preserve"> PAGEREF _Toc214566453 \h </w:instrText>
            </w:r>
            <w:r>
              <w:rPr>
                <w:webHidden/>
              </w:rPr>
            </w:r>
            <w:r>
              <w:rPr>
                <w:webHidden/>
              </w:rPr>
              <w:fldChar w:fldCharType="separate"/>
            </w:r>
            <w:r w:rsidR="002C3360">
              <w:rPr>
                <w:webHidden/>
              </w:rPr>
              <w:t>3</w:t>
            </w:r>
            <w:r>
              <w:rPr>
                <w:webHidden/>
              </w:rPr>
              <w:fldChar w:fldCharType="end"/>
            </w:r>
          </w:hyperlink>
        </w:p>
        <w:p w14:paraId="0EF8E477" w14:textId="614EC80D" w:rsidR="0098289D" w:rsidRDefault="0098289D">
          <w:pPr>
            <w:pStyle w:val="TOC1"/>
            <w:rPr>
              <w:rFonts w:eastAsiaTheme="minorEastAsia" w:cstheme="minorBidi"/>
              <w:b w:val="0"/>
              <w:color w:val="auto"/>
              <w:spacing w:val="0"/>
              <w:kern w:val="2"/>
              <w:sz w:val="24"/>
              <w:szCs w:val="24"/>
              <w14:ligatures w14:val="standardContextual"/>
            </w:rPr>
          </w:pPr>
          <w:hyperlink w:anchor="_Toc214566456" w:history="1">
            <w:r w:rsidRPr="00FB7DFF">
              <w:rPr>
                <w:rStyle w:val="Hyperlink"/>
              </w:rPr>
              <w:t>Definitions</w:t>
            </w:r>
            <w:r>
              <w:rPr>
                <w:webHidden/>
              </w:rPr>
              <w:tab/>
            </w:r>
            <w:r>
              <w:rPr>
                <w:webHidden/>
              </w:rPr>
              <w:fldChar w:fldCharType="begin"/>
            </w:r>
            <w:r>
              <w:rPr>
                <w:webHidden/>
              </w:rPr>
              <w:instrText xml:space="preserve"> PAGEREF _Toc214566456 \h </w:instrText>
            </w:r>
            <w:r>
              <w:rPr>
                <w:webHidden/>
              </w:rPr>
            </w:r>
            <w:r>
              <w:rPr>
                <w:webHidden/>
              </w:rPr>
              <w:fldChar w:fldCharType="separate"/>
            </w:r>
            <w:r w:rsidR="002C3360">
              <w:rPr>
                <w:webHidden/>
              </w:rPr>
              <w:t>4</w:t>
            </w:r>
            <w:r>
              <w:rPr>
                <w:webHidden/>
              </w:rPr>
              <w:fldChar w:fldCharType="end"/>
            </w:r>
          </w:hyperlink>
        </w:p>
        <w:p w14:paraId="7D61652B" w14:textId="6B811C25" w:rsidR="0098289D" w:rsidRDefault="0098289D">
          <w:pPr>
            <w:pStyle w:val="TOC1"/>
            <w:rPr>
              <w:rFonts w:eastAsiaTheme="minorEastAsia" w:cstheme="minorBidi"/>
              <w:b w:val="0"/>
              <w:color w:val="auto"/>
              <w:spacing w:val="0"/>
              <w:kern w:val="2"/>
              <w:sz w:val="24"/>
              <w:szCs w:val="24"/>
              <w14:ligatures w14:val="standardContextual"/>
            </w:rPr>
          </w:pPr>
          <w:hyperlink w:anchor="_Toc214566457" w:history="1">
            <w:r w:rsidRPr="00FB7DFF">
              <w:rPr>
                <w:rStyle w:val="Hyperlink"/>
              </w:rPr>
              <w:t>Policy</w:t>
            </w:r>
            <w:r>
              <w:rPr>
                <w:webHidden/>
              </w:rPr>
              <w:tab/>
            </w:r>
            <w:r>
              <w:rPr>
                <w:webHidden/>
              </w:rPr>
              <w:fldChar w:fldCharType="begin"/>
            </w:r>
            <w:r>
              <w:rPr>
                <w:webHidden/>
              </w:rPr>
              <w:instrText xml:space="preserve"> PAGEREF _Toc214566457 \h </w:instrText>
            </w:r>
            <w:r>
              <w:rPr>
                <w:webHidden/>
              </w:rPr>
            </w:r>
            <w:r>
              <w:rPr>
                <w:webHidden/>
              </w:rPr>
              <w:fldChar w:fldCharType="separate"/>
            </w:r>
            <w:r w:rsidR="002C3360">
              <w:rPr>
                <w:webHidden/>
              </w:rPr>
              <w:t>5</w:t>
            </w:r>
            <w:r>
              <w:rPr>
                <w:webHidden/>
              </w:rPr>
              <w:fldChar w:fldCharType="end"/>
            </w:r>
          </w:hyperlink>
        </w:p>
        <w:p w14:paraId="1C732ED0" w14:textId="4CA6881C" w:rsidR="0098289D" w:rsidRDefault="0098289D">
          <w:pPr>
            <w:pStyle w:val="TOC1"/>
            <w:rPr>
              <w:rFonts w:eastAsiaTheme="minorEastAsia" w:cstheme="minorBidi"/>
              <w:b w:val="0"/>
              <w:color w:val="auto"/>
              <w:spacing w:val="0"/>
              <w:kern w:val="2"/>
              <w:sz w:val="24"/>
              <w:szCs w:val="24"/>
              <w14:ligatures w14:val="standardContextual"/>
            </w:rPr>
          </w:pPr>
          <w:hyperlink w:anchor="_Toc214566458" w:history="1">
            <w:r w:rsidRPr="00FB7DFF">
              <w:rPr>
                <w:rStyle w:val="Hyperlink"/>
              </w:rPr>
              <w:t>1.</w:t>
            </w:r>
            <w:r>
              <w:rPr>
                <w:rFonts w:eastAsiaTheme="minorEastAsia" w:cstheme="minorBidi"/>
                <w:b w:val="0"/>
                <w:color w:val="auto"/>
                <w:spacing w:val="0"/>
                <w:kern w:val="2"/>
                <w:sz w:val="24"/>
                <w:szCs w:val="24"/>
                <w14:ligatures w14:val="standardContextual"/>
              </w:rPr>
              <w:tab/>
            </w:r>
            <w:r w:rsidRPr="00FB7DFF">
              <w:rPr>
                <w:rStyle w:val="Hyperlink"/>
              </w:rPr>
              <w:t>open and transparent engagement with the community</w:t>
            </w:r>
            <w:r>
              <w:rPr>
                <w:webHidden/>
              </w:rPr>
              <w:tab/>
            </w:r>
            <w:r>
              <w:rPr>
                <w:webHidden/>
              </w:rPr>
              <w:fldChar w:fldCharType="begin"/>
            </w:r>
            <w:r>
              <w:rPr>
                <w:webHidden/>
              </w:rPr>
              <w:instrText xml:space="preserve"> PAGEREF _Toc214566458 \h </w:instrText>
            </w:r>
            <w:r>
              <w:rPr>
                <w:webHidden/>
              </w:rPr>
            </w:r>
            <w:r>
              <w:rPr>
                <w:webHidden/>
              </w:rPr>
              <w:fldChar w:fldCharType="separate"/>
            </w:r>
            <w:r w:rsidR="002C3360">
              <w:rPr>
                <w:webHidden/>
              </w:rPr>
              <w:t>5</w:t>
            </w:r>
            <w:r>
              <w:rPr>
                <w:webHidden/>
              </w:rPr>
              <w:fldChar w:fldCharType="end"/>
            </w:r>
          </w:hyperlink>
        </w:p>
        <w:p w14:paraId="467ACEBE" w14:textId="1018954F" w:rsidR="0098289D" w:rsidRDefault="0098289D">
          <w:pPr>
            <w:pStyle w:val="TOC1"/>
            <w:rPr>
              <w:rFonts w:eastAsiaTheme="minorEastAsia" w:cstheme="minorBidi"/>
              <w:b w:val="0"/>
              <w:color w:val="auto"/>
              <w:spacing w:val="0"/>
              <w:kern w:val="2"/>
              <w:sz w:val="24"/>
              <w:szCs w:val="24"/>
              <w14:ligatures w14:val="standardContextual"/>
            </w:rPr>
          </w:pPr>
          <w:hyperlink w:anchor="_Toc214566463" w:history="1">
            <w:r w:rsidRPr="00FB7DFF">
              <w:rPr>
                <w:rStyle w:val="Hyperlink"/>
              </w:rPr>
              <w:t>2.</w:t>
            </w:r>
            <w:r>
              <w:rPr>
                <w:rFonts w:eastAsiaTheme="minorEastAsia" w:cstheme="minorBidi"/>
                <w:b w:val="0"/>
                <w:color w:val="auto"/>
                <w:spacing w:val="0"/>
                <w:kern w:val="2"/>
                <w:sz w:val="24"/>
                <w:szCs w:val="24"/>
                <w14:ligatures w14:val="standardContextual"/>
              </w:rPr>
              <w:tab/>
            </w:r>
            <w:r w:rsidRPr="00FB7DFF">
              <w:rPr>
                <w:rStyle w:val="Hyperlink"/>
              </w:rPr>
              <w:t>principles</w:t>
            </w:r>
            <w:r>
              <w:rPr>
                <w:webHidden/>
              </w:rPr>
              <w:tab/>
            </w:r>
            <w:r>
              <w:rPr>
                <w:webHidden/>
              </w:rPr>
              <w:fldChar w:fldCharType="begin"/>
            </w:r>
            <w:r>
              <w:rPr>
                <w:webHidden/>
              </w:rPr>
              <w:instrText xml:space="preserve"> PAGEREF _Toc214566463 \h </w:instrText>
            </w:r>
            <w:r>
              <w:rPr>
                <w:webHidden/>
              </w:rPr>
            </w:r>
            <w:r>
              <w:rPr>
                <w:webHidden/>
              </w:rPr>
              <w:fldChar w:fldCharType="separate"/>
            </w:r>
            <w:r w:rsidR="002C3360">
              <w:rPr>
                <w:webHidden/>
              </w:rPr>
              <w:t>6</w:t>
            </w:r>
            <w:r>
              <w:rPr>
                <w:webHidden/>
              </w:rPr>
              <w:fldChar w:fldCharType="end"/>
            </w:r>
          </w:hyperlink>
        </w:p>
        <w:p w14:paraId="5081F991" w14:textId="0E2073FE" w:rsidR="0098289D" w:rsidRDefault="0098289D">
          <w:pPr>
            <w:pStyle w:val="TOC1"/>
            <w:rPr>
              <w:rFonts w:eastAsiaTheme="minorEastAsia" w:cstheme="minorBidi"/>
              <w:b w:val="0"/>
              <w:color w:val="auto"/>
              <w:spacing w:val="0"/>
              <w:kern w:val="2"/>
              <w:sz w:val="24"/>
              <w:szCs w:val="24"/>
              <w14:ligatures w14:val="standardContextual"/>
            </w:rPr>
          </w:pPr>
          <w:hyperlink w:anchor="_Toc214566465" w:history="1">
            <w:r w:rsidRPr="00FB7DFF">
              <w:rPr>
                <w:rStyle w:val="Hyperlink"/>
              </w:rPr>
              <w:t>3.</w:t>
            </w:r>
            <w:r>
              <w:rPr>
                <w:rFonts w:eastAsiaTheme="minorEastAsia" w:cstheme="minorBidi"/>
                <w:b w:val="0"/>
                <w:color w:val="auto"/>
                <w:spacing w:val="0"/>
                <w:kern w:val="2"/>
                <w:sz w:val="24"/>
                <w:szCs w:val="24"/>
                <w14:ligatures w14:val="standardContextual"/>
              </w:rPr>
              <w:tab/>
            </w:r>
            <w:r w:rsidRPr="00FB7DFF">
              <w:rPr>
                <w:rStyle w:val="Hyperlink"/>
              </w:rPr>
              <w:t>prioritisation</w:t>
            </w:r>
            <w:r>
              <w:rPr>
                <w:rStyle w:val="Hyperlink"/>
              </w:rPr>
              <w:t xml:space="preserve"> </w:t>
            </w:r>
            <w:r w:rsidRPr="00FB7DFF">
              <w:rPr>
                <w:rStyle w:val="Hyperlink"/>
              </w:rPr>
              <w:t xml:space="preserve">framework </w:t>
            </w:r>
            <w:r>
              <w:rPr>
                <w:webHidden/>
              </w:rPr>
              <w:tab/>
            </w:r>
            <w:r>
              <w:rPr>
                <w:webHidden/>
              </w:rPr>
              <w:fldChar w:fldCharType="begin"/>
            </w:r>
            <w:r>
              <w:rPr>
                <w:webHidden/>
              </w:rPr>
              <w:instrText xml:space="preserve"> PAGEREF _Toc214566465 \h </w:instrText>
            </w:r>
            <w:r>
              <w:rPr>
                <w:webHidden/>
              </w:rPr>
            </w:r>
            <w:r>
              <w:rPr>
                <w:webHidden/>
              </w:rPr>
              <w:fldChar w:fldCharType="separate"/>
            </w:r>
            <w:r w:rsidR="002C3360">
              <w:rPr>
                <w:webHidden/>
              </w:rPr>
              <w:t>7</w:t>
            </w:r>
            <w:r>
              <w:rPr>
                <w:webHidden/>
              </w:rPr>
              <w:fldChar w:fldCharType="end"/>
            </w:r>
          </w:hyperlink>
        </w:p>
        <w:p w14:paraId="254FFFC7" w14:textId="620435DB" w:rsidR="0098289D" w:rsidRDefault="0098289D">
          <w:pPr>
            <w:pStyle w:val="TOC1"/>
            <w:rPr>
              <w:rFonts w:eastAsiaTheme="minorEastAsia" w:cstheme="minorBidi"/>
              <w:b w:val="0"/>
              <w:color w:val="auto"/>
              <w:spacing w:val="0"/>
              <w:kern w:val="2"/>
              <w:sz w:val="24"/>
              <w:szCs w:val="24"/>
              <w14:ligatures w14:val="standardContextual"/>
            </w:rPr>
          </w:pPr>
          <w:hyperlink w:anchor="_Toc214566466" w:history="1">
            <w:r w:rsidRPr="00FB7DFF">
              <w:rPr>
                <w:rStyle w:val="Hyperlink"/>
              </w:rPr>
              <w:t>Implementation of this Policy</w:t>
            </w:r>
            <w:r>
              <w:rPr>
                <w:webHidden/>
              </w:rPr>
              <w:tab/>
            </w:r>
            <w:r>
              <w:rPr>
                <w:webHidden/>
              </w:rPr>
              <w:fldChar w:fldCharType="begin"/>
            </w:r>
            <w:r>
              <w:rPr>
                <w:webHidden/>
              </w:rPr>
              <w:instrText xml:space="preserve"> PAGEREF _Toc214566466 \h </w:instrText>
            </w:r>
            <w:r>
              <w:rPr>
                <w:webHidden/>
              </w:rPr>
            </w:r>
            <w:r>
              <w:rPr>
                <w:webHidden/>
              </w:rPr>
              <w:fldChar w:fldCharType="separate"/>
            </w:r>
            <w:r w:rsidR="002C3360">
              <w:rPr>
                <w:webHidden/>
              </w:rPr>
              <w:t>8</w:t>
            </w:r>
            <w:r>
              <w:rPr>
                <w:webHidden/>
              </w:rPr>
              <w:fldChar w:fldCharType="end"/>
            </w:r>
          </w:hyperlink>
        </w:p>
        <w:p w14:paraId="673BBA71" w14:textId="6016191C" w:rsidR="0098289D" w:rsidRDefault="0098289D">
          <w:pPr>
            <w:pStyle w:val="TOC1"/>
            <w:rPr>
              <w:rFonts w:eastAsiaTheme="minorEastAsia" w:cstheme="minorBidi"/>
              <w:b w:val="0"/>
              <w:color w:val="auto"/>
              <w:spacing w:val="0"/>
              <w:kern w:val="2"/>
              <w:sz w:val="24"/>
              <w:szCs w:val="24"/>
              <w14:ligatures w14:val="standardContextual"/>
            </w:rPr>
          </w:pPr>
          <w:hyperlink w:anchor="_Toc214566471" w:history="1">
            <w:r w:rsidRPr="00FB7DFF">
              <w:rPr>
                <w:rStyle w:val="Hyperlink"/>
              </w:rPr>
              <w:t>References</w:t>
            </w:r>
            <w:r>
              <w:rPr>
                <w:webHidden/>
              </w:rPr>
              <w:tab/>
            </w:r>
            <w:r>
              <w:rPr>
                <w:webHidden/>
              </w:rPr>
              <w:fldChar w:fldCharType="begin"/>
            </w:r>
            <w:r>
              <w:rPr>
                <w:webHidden/>
              </w:rPr>
              <w:instrText xml:space="preserve"> PAGEREF _Toc214566471 \h </w:instrText>
            </w:r>
            <w:r>
              <w:rPr>
                <w:webHidden/>
              </w:rPr>
            </w:r>
            <w:r>
              <w:rPr>
                <w:webHidden/>
              </w:rPr>
              <w:fldChar w:fldCharType="separate"/>
            </w:r>
            <w:r w:rsidR="002C3360">
              <w:rPr>
                <w:webHidden/>
              </w:rPr>
              <w:t>9</w:t>
            </w:r>
            <w:r>
              <w:rPr>
                <w:webHidden/>
              </w:rPr>
              <w:fldChar w:fldCharType="end"/>
            </w:r>
          </w:hyperlink>
        </w:p>
        <w:p w14:paraId="640A3D46" w14:textId="0FB4FF01" w:rsidR="0098289D" w:rsidRDefault="0098289D">
          <w:r>
            <w:rPr>
              <w:b/>
              <w:bCs/>
              <w:noProof/>
            </w:rPr>
            <w:fldChar w:fldCharType="end"/>
          </w:r>
        </w:p>
      </w:sdtContent>
    </w:sdt>
    <w:p w14:paraId="4B862646" w14:textId="77777777" w:rsidR="00D42E0F" w:rsidRDefault="00D42E0F" w:rsidP="002A7D53"/>
    <w:p w14:paraId="12A1D8B8" w14:textId="69E174E8" w:rsidR="00D42E0F" w:rsidRDefault="00F9600D" w:rsidP="002A7D53">
      <w:pPr>
        <w:sectPr w:rsidR="00D42E0F" w:rsidSect="005C1B0A">
          <w:pgSz w:w="11907" w:h="16840" w:code="9"/>
          <w:pgMar w:top="1134" w:right="1134" w:bottom="794" w:left="1134" w:header="567" w:footer="340" w:gutter="0"/>
          <w:cols w:space="284"/>
          <w:docGrid w:linePitch="360"/>
        </w:sectPr>
      </w:pPr>
      <w:r w:rsidRPr="005875AE">
        <w:rPr>
          <w:b/>
          <w:bCs/>
          <w:i/>
          <w:iCs/>
        </w:rPr>
        <w:br w:type="page"/>
      </w:r>
    </w:p>
    <w:p w14:paraId="59423621" w14:textId="48887BA2" w:rsidR="00F9600D" w:rsidRDefault="009B3D07" w:rsidP="009B3D07">
      <w:pPr>
        <w:pStyle w:val="AttachmentHeading1"/>
        <w:framePr w:wrap="around"/>
      </w:pPr>
      <w:bookmarkStart w:id="0" w:name="_Toc214566453"/>
      <w:r>
        <w:lastRenderedPageBreak/>
        <w:t>Introduction</w:t>
      </w:r>
      <w:bookmarkEnd w:id="0"/>
    </w:p>
    <w:p w14:paraId="592EF2B1" w14:textId="374F4901" w:rsidR="00F9600D" w:rsidRDefault="009B3D07" w:rsidP="009B3D07">
      <w:pPr>
        <w:pStyle w:val="Heading1NoNumber"/>
      </w:pPr>
      <w:bookmarkStart w:id="1" w:name="_Toc214566454"/>
      <w:r>
        <w:t>purpose</w:t>
      </w:r>
      <w:bookmarkEnd w:id="1"/>
      <w:r>
        <w:t xml:space="preserve"> </w:t>
      </w:r>
    </w:p>
    <w:p w14:paraId="61D70FC0" w14:textId="77777777" w:rsidR="006C21F2" w:rsidRDefault="006C21F2" w:rsidP="006C21F2">
      <w:pPr>
        <w:pStyle w:val="BodyText"/>
      </w:pPr>
      <w:r>
        <w:t xml:space="preserve">A Special Rate and Charge Scheme is a funding model by which the City can recover the costs, or part thereof, from property owners where works or services provide a special benefit to those property owners. </w:t>
      </w:r>
    </w:p>
    <w:p w14:paraId="12842254" w14:textId="77777777" w:rsidR="006C21F2" w:rsidRDefault="006C21F2" w:rsidP="006C21F2">
      <w:pPr>
        <w:pStyle w:val="BodyText"/>
      </w:pPr>
      <w:r>
        <w:t>This policy provides guidance for implementing and delivering services paid for through contributions as part of a Special Rate and Charge Scheme pursuant to Section 163 of the Local Government Act 1989 and 2020.</w:t>
      </w:r>
    </w:p>
    <w:p w14:paraId="49889259" w14:textId="77777777" w:rsidR="009B3D07" w:rsidRDefault="009B3D07" w:rsidP="00DF644E">
      <w:pPr>
        <w:pStyle w:val="BodyText"/>
      </w:pPr>
    </w:p>
    <w:p w14:paraId="5487BDFC" w14:textId="3D520BE7" w:rsidR="009B3D07" w:rsidRDefault="009B3D07" w:rsidP="009B3D07">
      <w:pPr>
        <w:pStyle w:val="Heading1NoNumber"/>
      </w:pPr>
      <w:bookmarkStart w:id="2" w:name="_Toc214566455"/>
      <w:r>
        <w:t>scope</w:t>
      </w:r>
      <w:bookmarkEnd w:id="2"/>
    </w:p>
    <w:p w14:paraId="5F4F3424" w14:textId="77777777" w:rsidR="006C21F2" w:rsidRDefault="006C21F2" w:rsidP="006C21F2">
      <w:pPr>
        <w:pStyle w:val="BodyText"/>
      </w:pPr>
      <w:r>
        <w:t>Under the Local Government Act 1989, Councils may levy a special rate or charge to fund services or infrastructure that provide a special benefit to specific property owners. These schemes enable the City to deliver projects more efficiently, overcoming budget and timing constraints, and benefiting both individual properties and the broader community.</w:t>
      </w:r>
    </w:p>
    <w:p w14:paraId="7C903BCA" w14:textId="77777777" w:rsidR="006C21F2" w:rsidRDefault="006C21F2" w:rsidP="006C21F2">
      <w:pPr>
        <w:pStyle w:val="BodyText"/>
      </w:pPr>
      <w:r>
        <w:t>Special Rate and Charge Schemes are not limited to physical infrastructure—they may also support services such as marketing, promotion, and economic development.</w:t>
      </w:r>
    </w:p>
    <w:p w14:paraId="4452B81B" w14:textId="77777777" w:rsidR="006C21F2" w:rsidRDefault="006C21F2" w:rsidP="006C21F2">
      <w:pPr>
        <w:pStyle w:val="BodyText"/>
      </w:pPr>
      <w:r>
        <w:t>In new developments, infrastructure costs are typically apportioned by the developer across all lots. Where infrastructure or services are introduced later, property owners may be required to contribute fairly to the cost of those benefits.</w:t>
      </w:r>
    </w:p>
    <w:p w14:paraId="346DCA3D" w14:textId="77777777" w:rsidR="006C21F2" w:rsidRDefault="006C21F2" w:rsidP="006C21F2">
      <w:pPr>
        <w:pStyle w:val="BodyText"/>
      </w:pPr>
      <w:r>
        <w:t>This policy outlines the decision-making process and criteria for implementing Special Rate and Charge Schemes, ensuring transparency, equity, and alignment with community benefit.</w:t>
      </w:r>
    </w:p>
    <w:p w14:paraId="72F4453F" w14:textId="77777777" w:rsidR="006C21F2" w:rsidRDefault="006C21F2" w:rsidP="006C21F2">
      <w:pPr>
        <w:pStyle w:val="BodyText"/>
      </w:pPr>
    </w:p>
    <w:p w14:paraId="20117FD8" w14:textId="77777777" w:rsidR="006C21F2" w:rsidRDefault="006C21F2" w:rsidP="006C21F2">
      <w:pPr>
        <w:pStyle w:val="BodyText"/>
      </w:pPr>
      <w:r>
        <w:t>Services include but are not limited to:</w:t>
      </w:r>
    </w:p>
    <w:p w14:paraId="5A6241FB" w14:textId="77777777" w:rsidR="006C21F2" w:rsidRDefault="006C21F2" w:rsidP="006C21F2">
      <w:pPr>
        <w:pStyle w:val="BodyText"/>
      </w:pPr>
      <w:r>
        <w:t>•</w:t>
      </w:r>
      <w:r>
        <w:tab/>
        <w:t>Increase in maintenance above municipal pre-determined levels of intervention</w:t>
      </w:r>
    </w:p>
    <w:p w14:paraId="068A2316" w14:textId="77777777" w:rsidR="006C21F2" w:rsidRDefault="006C21F2" w:rsidP="006C21F2">
      <w:pPr>
        <w:pStyle w:val="BodyText"/>
      </w:pPr>
      <w:r>
        <w:t>•</w:t>
      </w:r>
      <w:r>
        <w:tab/>
        <w:t>Treatments to address nuisance amenity issues associated with City infrastructure</w:t>
      </w:r>
    </w:p>
    <w:p w14:paraId="7C70C1DB" w14:textId="77777777" w:rsidR="006C21F2" w:rsidRDefault="006C21F2" w:rsidP="006C21F2">
      <w:pPr>
        <w:pStyle w:val="BodyText"/>
      </w:pPr>
      <w:r>
        <w:t>•</w:t>
      </w:r>
      <w:r>
        <w:tab/>
        <w:t>Marketing and promotion</w:t>
      </w:r>
    </w:p>
    <w:p w14:paraId="0CC9D79D" w14:textId="77777777" w:rsidR="006C21F2" w:rsidRDefault="006C21F2" w:rsidP="006C21F2">
      <w:pPr>
        <w:pStyle w:val="BodyText"/>
      </w:pPr>
      <w:r>
        <w:t>The provision of Infrastructure includes but is not limited to:</w:t>
      </w:r>
    </w:p>
    <w:p w14:paraId="366148A0" w14:textId="77777777" w:rsidR="006C21F2" w:rsidRDefault="006C21F2" w:rsidP="006C21F2">
      <w:pPr>
        <w:pStyle w:val="BodyText"/>
      </w:pPr>
      <w:r>
        <w:t>•</w:t>
      </w:r>
      <w:r>
        <w:tab/>
        <w:t>Sealed roads</w:t>
      </w:r>
    </w:p>
    <w:p w14:paraId="4D2BEA81" w14:textId="77777777" w:rsidR="006C21F2" w:rsidRDefault="006C21F2" w:rsidP="006C21F2">
      <w:pPr>
        <w:pStyle w:val="BodyText"/>
      </w:pPr>
      <w:r>
        <w:t>•</w:t>
      </w:r>
      <w:r>
        <w:tab/>
        <w:t>Drainage</w:t>
      </w:r>
    </w:p>
    <w:p w14:paraId="28D04289" w14:textId="77777777" w:rsidR="006C21F2" w:rsidRDefault="006C21F2" w:rsidP="006C21F2">
      <w:pPr>
        <w:pStyle w:val="BodyText"/>
      </w:pPr>
      <w:r>
        <w:t>•</w:t>
      </w:r>
      <w:r>
        <w:tab/>
        <w:t>Kerb and channel</w:t>
      </w:r>
    </w:p>
    <w:p w14:paraId="58955C48" w14:textId="77777777" w:rsidR="006C21F2" w:rsidRDefault="006C21F2" w:rsidP="006C21F2">
      <w:pPr>
        <w:pStyle w:val="BodyText"/>
      </w:pPr>
      <w:r>
        <w:t>•</w:t>
      </w:r>
      <w:r>
        <w:tab/>
        <w:t>Footpaths</w:t>
      </w:r>
    </w:p>
    <w:p w14:paraId="7502202D" w14:textId="77777777" w:rsidR="006C21F2" w:rsidRDefault="006C21F2" w:rsidP="006C21F2">
      <w:pPr>
        <w:pStyle w:val="BodyText"/>
      </w:pPr>
      <w:r>
        <w:t>•</w:t>
      </w:r>
      <w:r>
        <w:tab/>
        <w:t>Streetlighting</w:t>
      </w:r>
    </w:p>
    <w:p w14:paraId="6D995F5F" w14:textId="77777777" w:rsidR="006C21F2" w:rsidRDefault="006C21F2" w:rsidP="006C21F2">
      <w:pPr>
        <w:pStyle w:val="BodyText"/>
      </w:pPr>
      <w:r>
        <w:t>•</w:t>
      </w:r>
      <w:r>
        <w:tab/>
        <w:t>Other capital infrastructure</w:t>
      </w:r>
    </w:p>
    <w:p w14:paraId="2FECB7A0" w14:textId="77777777" w:rsidR="006C21F2" w:rsidRDefault="006C21F2" w:rsidP="006C21F2">
      <w:pPr>
        <w:pStyle w:val="BodyText"/>
      </w:pPr>
      <w:r>
        <w:t>•</w:t>
      </w:r>
      <w:r>
        <w:tab/>
        <w:t>Design and construction of the above</w:t>
      </w:r>
    </w:p>
    <w:p w14:paraId="3C8FBA0D" w14:textId="4DC36587" w:rsidR="009B3D07" w:rsidRDefault="009B3D07">
      <w:r>
        <w:br w:type="page"/>
      </w:r>
    </w:p>
    <w:p w14:paraId="722EB292" w14:textId="63BBD15D" w:rsidR="00F9600D" w:rsidRDefault="009B3D07" w:rsidP="009B3D07">
      <w:pPr>
        <w:pStyle w:val="AttachmentHeading1"/>
        <w:framePr w:wrap="around"/>
      </w:pPr>
      <w:bookmarkStart w:id="3" w:name="_Toc214566456"/>
      <w:r>
        <w:lastRenderedPageBreak/>
        <w:t>Definitions</w:t>
      </w:r>
      <w:bookmarkEnd w:id="3"/>
    </w:p>
    <w:p w14:paraId="375BBE6B" w14:textId="6532A197" w:rsidR="009B3D07" w:rsidRDefault="009B3D07" w:rsidP="00DF644E">
      <w:pPr>
        <w:pStyle w:val="BodyText"/>
      </w:pPr>
      <w:r>
        <w:t>The following definitions apply to this Policy:</w:t>
      </w:r>
    </w:p>
    <w:tbl>
      <w:tblPr>
        <w:tblStyle w:val="TableGrid"/>
        <w:tblW w:w="0" w:type="auto"/>
        <w:tblLook w:val="04A0" w:firstRow="1" w:lastRow="0" w:firstColumn="1" w:lastColumn="0" w:noHBand="0" w:noVBand="1"/>
      </w:tblPr>
      <w:tblGrid>
        <w:gridCol w:w="2694"/>
        <w:gridCol w:w="6945"/>
      </w:tblGrid>
      <w:tr w:rsidR="009B3D07"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DF644E">
            <w:pPr>
              <w:pStyle w:val="BodyText"/>
            </w:pPr>
            <w:r>
              <w:t>Definition</w:t>
            </w:r>
          </w:p>
        </w:tc>
      </w:tr>
      <w:tr w:rsidR="009B3D07" w14:paraId="53329DA9" w14:textId="77777777" w:rsidTr="007F5638">
        <w:tc>
          <w:tcPr>
            <w:tcW w:w="2694" w:type="dxa"/>
          </w:tcPr>
          <w:p w14:paraId="7D9FB05F" w14:textId="04D724BF" w:rsidR="009B3D07" w:rsidRDefault="00DD2FB1" w:rsidP="00DF644E">
            <w:pPr>
              <w:pStyle w:val="BodyText"/>
            </w:pPr>
            <w:r w:rsidRPr="00DD2FB1">
              <w:rPr>
                <w:b/>
                <w:bCs/>
              </w:rPr>
              <w:t>City</w:t>
            </w:r>
          </w:p>
        </w:tc>
        <w:tc>
          <w:tcPr>
            <w:tcW w:w="6945" w:type="dxa"/>
          </w:tcPr>
          <w:p w14:paraId="723E182E" w14:textId="43D9833D" w:rsidR="009B3D07" w:rsidRDefault="00DD2FB1" w:rsidP="00DF644E">
            <w:pPr>
              <w:pStyle w:val="BodyText"/>
            </w:pPr>
            <w:r>
              <w:t xml:space="preserve">The City of Greater Geelong organisation, led by the CEO. </w:t>
            </w:r>
          </w:p>
        </w:tc>
      </w:tr>
      <w:tr w:rsidR="0012550A" w14:paraId="5D900BAE" w14:textId="77777777" w:rsidTr="007F5638">
        <w:tc>
          <w:tcPr>
            <w:tcW w:w="2694" w:type="dxa"/>
          </w:tcPr>
          <w:p w14:paraId="61EFB11B" w14:textId="45590AB5" w:rsidR="0012550A" w:rsidRPr="00DD2FB1" w:rsidRDefault="0012550A" w:rsidP="00DF644E">
            <w:pPr>
              <w:pStyle w:val="BodyText"/>
              <w:rPr>
                <w:b/>
                <w:bCs/>
              </w:rPr>
            </w:pPr>
            <w:r>
              <w:rPr>
                <w:b/>
                <w:bCs/>
              </w:rPr>
              <w:t xml:space="preserve">City </w:t>
            </w:r>
            <w:r w:rsidR="00960B6A">
              <w:rPr>
                <w:b/>
                <w:bCs/>
              </w:rPr>
              <w:t>Officers</w:t>
            </w:r>
          </w:p>
        </w:tc>
        <w:tc>
          <w:tcPr>
            <w:tcW w:w="6945" w:type="dxa"/>
          </w:tcPr>
          <w:p w14:paraId="436A3C17" w14:textId="095D09D4" w:rsidR="0012550A" w:rsidRPr="006C21F2" w:rsidRDefault="0012550A" w:rsidP="00DF644E">
            <w:pPr>
              <w:pStyle w:val="BodyText"/>
            </w:pPr>
            <w:r>
              <w:t>Includes employees, volunteers and contractors.</w:t>
            </w:r>
          </w:p>
        </w:tc>
      </w:tr>
      <w:tr w:rsidR="009B3D07" w14:paraId="5CE0A816" w14:textId="77777777" w:rsidTr="007F5638">
        <w:tc>
          <w:tcPr>
            <w:tcW w:w="2694" w:type="dxa"/>
          </w:tcPr>
          <w:p w14:paraId="57D74D76" w14:textId="037396F4" w:rsidR="009B3D07" w:rsidRDefault="00DD2FB1" w:rsidP="00DF644E">
            <w:pPr>
              <w:pStyle w:val="BodyText"/>
            </w:pPr>
            <w:r w:rsidRPr="00DD2FB1">
              <w:rPr>
                <w:b/>
                <w:bCs/>
              </w:rPr>
              <w:t>Council</w:t>
            </w:r>
          </w:p>
        </w:tc>
        <w:tc>
          <w:tcPr>
            <w:tcW w:w="6945" w:type="dxa"/>
          </w:tcPr>
          <w:p w14:paraId="79C38560" w14:textId="0EADE0FF" w:rsidR="009B3D07" w:rsidRDefault="00DD2FB1" w:rsidP="00DF644E">
            <w:pPr>
              <w:pStyle w:val="BodyText"/>
            </w:pPr>
            <w:r>
              <w:t xml:space="preserve">The City of Greater Geelong Council comprised of elected councillors and led by the Mayor.  </w:t>
            </w:r>
          </w:p>
        </w:tc>
      </w:tr>
      <w:tr w:rsidR="009B3D07" w14:paraId="6E50A970" w14:textId="77777777" w:rsidTr="007F5638">
        <w:tc>
          <w:tcPr>
            <w:tcW w:w="2694" w:type="dxa"/>
          </w:tcPr>
          <w:p w14:paraId="319D49B5" w14:textId="2B2534E8" w:rsidR="009B3D07" w:rsidRDefault="00DD2FB1" w:rsidP="00DF644E">
            <w:pPr>
              <w:pStyle w:val="BodyText"/>
            </w:pPr>
            <w:r w:rsidRPr="00DD2FB1">
              <w:rPr>
                <w:b/>
                <w:bCs/>
              </w:rPr>
              <w:t>ELT</w:t>
            </w:r>
          </w:p>
        </w:tc>
        <w:tc>
          <w:tcPr>
            <w:tcW w:w="6945" w:type="dxa"/>
          </w:tcPr>
          <w:p w14:paraId="7A2165F0" w14:textId="74BCAF54" w:rsidR="009B3D07" w:rsidRDefault="00DD2FB1" w:rsidP="00DF644E">
            <w:pPr>
              <w:pStyle w:val="BodyText"/>
            </w:pPr>
            <w:r>
              <w:t xml:space="preserve">The Executive Leadership Team of the City, as constituted from time to time.  </w:t>
            </w:r>
          </w:p>
        </w:tc>
      </w:tr>
      <w:tr w:rsidR="006C21F2" w14:paraId="26A94A38" w14:textId="77777777" w:rsidTr="007F5638">
        <w:tc>
          <w:tcPr>
            <w:tcW w:w="2694" w:type="dxa"/>
          </w:tcPr>
          <w:p w14:paraId="6ED22702" w14:textId="6D3EFFAC" w:rsidR="006C21F2" w:rsidRPr="00DD2FB1" w:rsidRDefault="006C21F2" w:rsidP="006C21F2">
            <w:pPr>
              <w:pStyle w:val="BodyText"/>
              <w:rPr>
                <w:b/>
                <w:bCs/>
              </w:rPr>
            </w:pPr>
            <w:r>
              <w:rPr>
                <w:b/>
                <w:bCs/>
              </w:rPr>
              <w:t>Submission Review Panel (SRP)</w:t>
            </w:r>
          </w:p>
        </w:tc>
        <w:tc>
          <w:tcPr>
            <w:tcW w:w="6945" w:type="dxa"/>
          </w:tcPr>
          <w:p w14:paraId="0F2F5A56" w14:textId="24E357DB" w:rsidR="006C21F2" w:rsidRDefault="006C21F2" w:rsidP="006C21F2">
            <w:pPr>
              <w:pStyle w:val="BodyText"/>
            </w:pPr>
            <w:r w:rsidRPr="00945567">
              <w:t>A panel of Councillors to consider feedback from property owners who support or oppose a proposed scheme.</w:t>
            </w:r>
            <w:r w:rsidRPr="00945567">
              <w:rPr>
                <w:highlight w:val="yellow"/>
              </w:rPr>
              <w:t xml:space="preserve"> </w:t>
            </w:r>
          </w:p>
        </w:tc>
      </w:tr>
      <w:tr w:rsidR="006C21F2" w14:paraId="4F397670" w14:textId="77777777" w:rsidTr="006C21F2">
        <w:tc>
          <w:tcPr>
            <w:tcW w:w="2694" w:type="dxa"/>
          </w:tcPr>
          <w:p w14:paraId="41BF7562" w14:textId="77777777" w:rsidR="006C21F2" w:rsidRPr="00C83F80" w:rsidRDefault="006C21F2" w:rsidP="005C07FC">
            <w:pPr>
              <w:pStyle w:val="BodyText"/>
              <w:rPr>
                <w:b/>
                <w:bCs/>
              </w:rPr>
            </w:pPr>
            <w:r w:rsidRPr="00C83F80">
              <w:rPr>
                <w:b/>
                <w:bCs/>
              </w:rPr>
              <w:t>Special Benefit</w:t>
            </w:r>
          </w:p>
        </w:tc>
        <w:tc>
          <w:tcPr>
            <w:tcW w:w="6945" w:type="dxa"/>
          </w:tcPr>
          <w:p w14:paraId="6907118E" w14:textId="77777777" w:rsidR="006C21F2" w:rsidRDefault="006C21F2" w:rsidP="005C07FC">
            <w:pPr>
              <w:pStyle w:val="BodyText"/>
            </w:pPr>
            <w:r w:rsidRPr="00C83F80">
              <w:t>Benefit received by those property owners included in the scheme.  Benefitting property owners pay the special benefit.</w:t>
            </w:r>
          </w:p>
        </w:tc>
      </w:tr>
      <w:tr w:rsidR="006C21F2" w14:paraId="7BA74364" w14:textId="77777777" w:rsidTr="006C21F2">
        <w:tc>
          <w:tcPr>
            <w:tcW w:w="2694" w:type="dxa"/>
          </w:tcPr>
          <w:p w14:paraId="32DC87E7" w14:textId="77777777" w:rsidR="006C21F2" w:rsidRPr="00DD2FB1" w:rsidRDefault="006C21F2" w:rsidP="005C07FC">
            <w:pPr>
              <w:pStyle w:val="BodyText"/>
              <w:rPr>
                <w:b/>
                <w:bCs/>
              </w:rPr>
            </w:pPr>
            <w:r>
              <w:rPr>
                <w:b/>
                <w:bCs/>
              </w:rPr>
              <w:t>Community</w:t>
            </w:r>
            <w:r w:rsidRPr="00C83F80">
              <w:rPr>
                <w:b/>
                <w:bCs/>
              </w:rPr>
              <w:t xml:space="preserve"> Benefit</w:t>
            </w:r>
          </w:p>
        </w:tc>
        <w:tc>
          <w:tcPr>
            <w:tcW w:w="6945" w:type="dxa"/>
          </w:tcPr>
          <w:p w14:paraId="51566D2D" w14:textId="77777777" w:rsidR="006C21F2" w:rsidRDefault="006C21F2" w:rsidP="005C07FC">
            <w:pPr>
              <w:pStyle w:val="BodyText"/>
            </w:pPr>
            <w:r w:rsidRPr="00C83F80">
              <w:t>The wider community that are not receiving a Special Benefit in the proposed scheme.  The community benefit is paid by the City.</w:t>
            </w:r>
          </w:p>
        </w:tc>
      </w:tr>
      <w:tr w:rsidR="006C21F2" w14:paraId="6EDA00B6" w14:textId="77777777" w:rsidTr="005C07FC">
        <w:tc>
          <w:tcPr>
            <w:tcW w:w="2694" w:type="dxa"/>
          </w:tcPr>
          <w:p w14:paraId="655E0674" w14:textId="77777777" w:rsidR="006C21F2" w:rsidRDefault="006C21F2" w:rsidP="005C07FC">
            <w:pPr>
              <w:pStyle w:val="BodyText"/>
              <w:rPr>
                <w:b/>
                <w:bCs/>
              </w:rPr>
            </w:pPr>
            <w:r>
              <w:rPr>
                <w:b/>
                <w:bCs/>
              </w:rPr>
              <w:t>Total</w:t>
            </w:r>
            <w:r w:rsidRPr="00C83F80">
              <w:rPr>
                <w:b/>
                <w:bCs/>
              </w:rPr>
              <w:t xml:space="preserve"> Benefit</w:t>
            </w:r>
          </w:p>
        </w:tc>
        <w:tc>
          <w:tcPr>
            <w:tcW w:w="6945" w:type="dxa"/>
          </w:tcPr>
          <w:p w14:paraId="632A7511" w14:textId="77777777" w:rsidR="006C21F2" w:rsidRPr="00C83F80" w:rsidRDefault="006C21F2" w:rsidP="005C07FC">
            <w:pPr>
              <w:pStyle w:val="BodyText"/>
            </w:pPr>
            <w:r w:rsidRPr="00C83F80">
              <w:t>Special Benefit plus Community Benefit.</w:t>
            </w:r>
          </w:p>
        </w:tc>
      </w:tr>
      <w:tr w:rsidR="006C21F2" w14:paraId="4553B0F8" w14:textId="77777777" w:rsidTr="005C07FC">
        <w:tc>
          <w:tcPr>
            <w:tcW w:w="2694" w:type="dxa"/>
          </w:tcPr>
          <w:p w14:paraId="10952136" w14:textId="77777777" w:rsidR="006C21F2" w:rsidRDefault="006C21F2" w:rsidP="005C07FC">
            <w:pPr>
              <w:pStyle w:val="BodyText"/>
              <w:rPr>
                <w:b/>
                <w:bCs/>
              </w:rPr>
            </w:pPr>
            <w:r>
              <w:rPr>
                <w:b/>
                <w:bCs/>
              </w:rPr>
              <w:t>VCAT</w:t>
            </w:r>
          </w:p>
        </w:tc>
        <w:tc>
          <w:tcPr>
            <w:tcW w:w="6945" w:type="dxa"/>
          </w:tcPr>
          <w:p w14:paraId="4427C8EB" w14:textId="77777777" w:rsidR="006C21F2" w:rsidRPr="00C83F80" w:rsidRDefault="006C21F2" w:rsidP="005C07FC">
            <w:pPr>
              <w:pStyle w:val="BodyText"/>
            </w:pPr>
            <w:r w:rsidRPr="007C2FB8">
              <w:t>Victorian Civil and Administrative Tribunal</w:t>
            </w:r>
            <w:r>
              <w:t>.</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4" w:name="_Toc214566457"/>
      <w:r>
        <w:lastRenderedPageBreak/>
        <w:t>Policy</w:t>
      </w:r>
      <w:bookmarkEnd w:id="4"/>
    </w:p>
    <w:p w14:paraId="1FB2C42C" w14:textId="77777777" w:rsidR="00B71B70" w:rsidRPr="00CE53F0" w:rsidRDefault="00B71B70" w:rsidP="00B71B70">
      <w:pPr>
        <w:pStyle w:val="BodyText"/>
      </w:pPr>
      <w:r w:rsidRPr="00CE53F0">
        <w:t xml:space="preserve">The City aims to deliver a standard of infrastructure and services that ensures the connection, safety, wellbeing and prosperity of all members of the community.  This in turn creates a healthier community by reducing isolation, encouraging physical activity and socialisation and strengthens the local economy.  </w:t>
      </w:r>
    </w:p>
    <w:p w14:paraId="281C921E" w14:textId="77777777" w:rsidR="00B71B70" w:rsidRPr="00CE53F0" w:rsidRDefault="00B71B70" w:rsidP="00B71B70">
      <w:pPr>
        <w:pStyle w:val="BodyText"/>
      </w:pPr>
      <w:r w:rsidRPr="00CE53F0">
        <w:t xml:space="preserve">The City welcomes nominations and support from the community where infrastructure and services may need improvement and could be delivered under a Special Rate and Charge Scheme funding model. </w:t>
      </w:r>
    </w:p>
    <w:p w14:paraId="6B1E6356" w14:textId="77777777" w:rsidR="00B71B70" w:rsidRPr="00CE53F0" w:rsidRDefault="00B71B70" w:rsidP="00B71B70">
      <w:pPr>
        <w:pStyle w:val="BodyText"/>
      </w:pPr>
      <w:r w:rsidRPr="00CE53F0">
        <w:t>Where possible, works and services delivered under a Special Rate and Charge Scheme will comply with relevant standards and guidelines and the Local Government Act 1989 and the Local Government Act 2020.</w:t>
      </w:r>
    </w:p>
    <w:p w14:paraId="07D5BD4D" w14:textId="77777777" w:rsidR="00B71B70" w:rsidRPr="00CE53F0" w:rsidRDefault="00B71B70" w:rsidP="00B71B70">
      <w:pPr>
        <w:pStyle w:val="BodyText"/>
      </w:pPr>
      <w:r w:rsidRPr="00CE53F0">
        <w:t>As a result of increasing population growth in Greater Geelong, there is community expectation that infrastructure and services are provided to support the growing community.</w:t>
      </w:r>
    </w:p>
    <w:p w14:paraId="2DCBEB8C" w14:textId="77777777" w:rsidR="00B71B70" w:rsidRPr="00CE53F0" w:rsidRDefault="00B71B70" w:rsidP="00B71B70">
      <w:pPr>
        <w:pStyle w:val="BodyText"/>
      </w:pPr>
      <w:r w:rsidRPr="00CE53F0">
        <w:t xml:space="preserve">A Special Rate and Charge Scheme may be initiated by the City </w:t>
      </w:r>
      <w:r>
        <w:t xml:space="preserve">via a petition </w:t>
      </w:r>
      <w:r w:rsidRPr="00CE53F0">
        <w:t xml:space="preserve">or may be requested by property/business owners or residents. A Special Rate and Charge Scheme may be delivered to raise the standard of a specific service or infrastructure to provide better amenity for residents or to better respond to growth.  Without Special Rate and Charge Schemes, the upgrading or construction of new infrastructure or provision of services would be significantly delayed or never delivered.  </w:t>
      </w:r>
    </w:p>
    <w:p w14:paraId="031812A9" w14:textId="77777777" w:rsidR="00B71B70" w:rsidRPr="00CE53F0" w:rsidRDefault="00B71B70" w:rsidP="00B71B70">
      <w:pPr>
        <w:pStyle w:val="BodyText"/>
      </w:pPr>
      <w:r w:rsidRPr="00CE53F0">
        <w:t>Apportioning costs enable the City to balance its financial sustainability with benefiting communities/properties.  Any cost adjustments will be confirmed in accordance with the requirements of the Local Government Act 1989 at the finalisation of the Scheme.</w:t>
      </w:r>
    </w:p>
    <w:p w14:paraId="4D9084BB" w14:textId="77777777" w:rsidR="00B71B70" w:rsidRPr="00CE53F0" w:rsidRDefault="00B71B70" w:rsidP="00B71B70">
      <w:pPr>
        <w:pStyle w:val="BodyText"/>
      </w:pPr>
      <w:r w:rsidRPr="00CE53F0">
        <w:t>Apportionment of costs from a Special Rate and Charge Scheme is calculated in recognition of the benefit to the property owners and the local community.  The classification of the road or drain defines the ratio of Special Benefit and Community Benefit for the different asset classes.</w:t>
      </w:r>
    </w:p>
    <w:p w14:paraId="3C40E1A3" w14:textId="77777777" w:rsidR="00B71B70" w:rsidRPr="00CE53F0" w:rsidRDefault="00B71B70" w:rsidP="00B71B70">
      <w:pPr>
        <w:pStyle w:val="BodyText"/>
      </w:pPr>
      <w:r w:rsidRPr="00CE53F0">
        <w:t>Costs will be apportioned using information available to derive the proportion of Special Benefit gained by each individual party to the Scheme and Community Benefit.</w:t>
      </w:r>
    </w:p>
    <w:p w14:paraId="57B092D2" w14:textId="77777777" w:rsidR="00B71B70" w:rsidRDefault="00B71B70" w:rsidP="00B71B70">
      <w:pPr>
        <w:pStyle w:val="Heading1"/>
        <w:numPr>
          <w:ilvl w:val="0"/>
          <w:numId w:val="0"/>
        </w:numPr>
        <w:ind w:left="397" w:hanging="397"/>
      </w:pPr>
    </w:p>
    <w:p w14:paraId="2E5317D8" w14:textId="73DF3A28" w:rsidR="00DD2FB1" w:rsidRDefault="00B71B70" w:rsidP="00B71B70">
      <w:pPr>
        <w:pStyle w:val="Heading1"/>
      </w:pPr>
      <w:bookmarkStart w:id="5" w:name="_Toc213167812"/>
      <w:bookmarkStart w:id="6" w:name="_Toc214566458"/>
      <w:r>
        <w:t>open and transparent engagement with the community</w:t>
      </w:r>
      <w:bookmarkEnd w:id="5"/>
      <w:bookmarkEnd w:id="6"/>
    </w:p>
    <w:p w14:paraId="27B301E0" w14:textId="77777777" w:rsidR="00B71B70" w:rsidRDefault="00B71B70" w:rsidP="00B71B70">
      <w:pPr>
        <w:pStyle w:val="Heading2"/>
        <w:numPr>
          <w:ilvl w:val="0"/>
          <w:numId w:val="0"/>
        </w:numPr>
        <w:ind w:left="397"/>
      </w:pPr>
      <w:bookmarkStart w:id="7" w:name="_Toc214566459"/>
      <w:r>
        <w:t>When engaging in a Scheme, the City aims to provide an open and transparent process, on a fair, reasonable and equitable basis and encourages property owner input.</w:t>
      </w:r>
      <w:bookmarkEnd w:id="7"/>
      <w:r>
        <w:t xml:space="preserve"> </w:t>
      </w:r>
    </w:p>
    <w:p w14:paraId="195BB8EE" w14:textId="77777777" w:rsidR="00B71B70" w:rsidRDefault="00B71B70" w:rsidP="00B71B70">
      <w:pPr>
        <w:pStyle w:val="Heading2"/>
        <w:numPr>
          <w:ilvl w:val="0"/>
          <w:numId w:val="0"/>
        </w:numPr>
        <w:ind w:left="397"/>
      </w:pPr>
      <w:bookmarkStart w:id="8" w:name="_Toc214566460"/>
      <w:r>
        <w:t>To ensure a Special Rate and Charge Scheme is implemented in accordance with the requirements of the Local Government Act 1989 and 2020, Council follows this policy, and internal procedures, for all Schemes undertaken.</w:t>
      </w:r>
      <w:bookmarkEnd w:id="8"/>
    </w:p>
    <w:p w14:paraId="6ED25208" w14:textId="77777777" w:rsidR="00B71B70" w:rsidRDefault="00B71B70" w:rsidP="00B71B70">
      <w:pPr>
        <w:pStyle w:val="Heading2"/>
        <w:numPr>
          <w:ilvl w:val="0"/>
          <w:numId w:val="0"/>
        </w:numPr>
        <w:ind w:left="397"/>
      </w:pPr>
      <w:bookmarkStart w:id="9" w:name="_Toc214566461"/>
      <w:r>
        <w:t>Each Special Rate and Charge Scheme is unique.  A community engagement plan shall be prepared to suit specific needs in accordance with Council’s Community Engagement Policy.</w:t>
      </w:r>
      <w:bookmarkEnd w:id="9"/>
      <w:r>
        <w:t xml:space="preserve">  </w:t>
      </w:r>
    </w:p>
    <w:p w14:paraId="15A1F95D" w14:textId="77777777" w:rsidR="00B71B70" w:rsidRDefault="00B71B70" w:rsidP="00B71B70">
      <w:pPr>
        <w:pStyle w:val="Heading2"/>
        <w:numPr>
          <w:ilvl w:val="0"/>
          <w:numId w:val="0"/>
        </w:numPr>
        <w:ind w:left="397"/>
      </w:pPr>
      <w:bookmarkStart w:id="10" w:name="_Toc214566462"/>
      <w:r>
        <w:t>The City, in considering a Scheme, may adopt, abandon or modify a proposed scheme. If a Scheme is abandoned, it generally won’t be revisited within 10 years from the decision or unless it is clearly demonstrated that community support has changed.  Support is demonstrated by the majority (60% or more) of survey responses received indicating their support for the upgrade under a future SRC Scheme.</w:t>
      </w:r>
      <w:bookmarkEnd w:id="10"/>
      <w:r>
        <w:t xml:space="preserve">  </w:t>
      </w:r>
    </w:p>
    <w:p w14:paraId="018C072C" w14:textId="46E648E9" w:rsidR="00D04534" w:rsidRDefault="00B71B70" w:rsidP="00003D6F">
      <w:pPr>
        <w:pStyle w:val="Heading1"/>
      </w:pPr>
      <w:bookmarkStart w:id="11" w:name="_Toc214566463"/>
      <w:r>
        <w:lastRenderedPageBreak/>
        <w:t>principles</w:t>
      </w:r>
      <w:bookmarkEnd w:id="11"/>
    </w:p>
    <w:p w14:paraId="59F54ADA" w14:textId="77777777" w:rsidR="005C095D" w:rsidRPr="005C095D" w:rsidRDefault="005C095D" w:rsidP="005C095D">
      <w:pPr>
        <w:pStyle w:val="Heading1"/>
        <w:numPr>
          <w:ilvl w:val="0"/>
          <w:numId w:val="0"/>
        </w:numPr>
        <w:ind w:left="397"/>
        <w:rPr>
          <w:b w:val="0"/>
          <w:bCs/>
          <w:caps w:val="0"/>
          <w:color w:val="auto"/>
        </w:rPr>
      </w:pPr>
      <w:bookmarkStart w:id="12" w:name="_Toc214566464"/>
      <w:r w:rsidRPr="005C095D">
        <w:rPr>
          <w:b w:val="0"/>
          <w:bCs/>
          <w:caps w:val="0"/>
          <w:color w:val="auto"/>
        </w:rPr>
        <w:t>The following principles underpin the City’s Special Rate and Charge Scheme decision making.</w:t>
      </w:r>
      <w:bookmarkEnd w:id="12"/>
    </w:p>
    <w:tbl>
      <w:tblPr>
        <w:tblStyle w:val="TableGrid"/>
        <w:tblW w:w="10065" w:type="dxa"/>
        <w:tblLook w:val="0420" w:firstRow="1" w:lastRow="0" w:firstColumn="0" w:lastColumn="0" w:noHBand="0" w:noVBand="1"/>
      </w:tblPr>
      <w:tblGrid>
        <w:gridCol w:w="3119"/>
        <w:gridCol w:w="6946"/>
      </w:tblGrid>
      <w:tr w:rsidR="005C095D" w:rsidRPr="00CE53F0" w14:paraId="0BF710EB" w14:textId="77777777" w:rsidTr="005C07FC">
        <w:trPr>
          <w:cnfStyle w:val="100000000000" w:firstRow="1" w:lastRow="0" w:firstColumn="0" w:lastColumn="0" w:oddVBand="0" w:evenVBand="0" w:oddHBand="0" w:evenHBand="0" w:firstRowFirstColumn="0" w:firstRowLastColumn="0" w:lastRowFirstColumn="0" w:lastRowLastColumn="0"/>
        </w:trPr>
        <w:tc>
          <w:tcPr>
            <w:tcW w:w="3119" w:type="dxa"/>
          </w:tcPr>
          <w:p w14:paraId="32457413" w14:textId="77777777" w:rsidR="005C095D" w:rsidRPr="00CE53F0" w:rsidRDefault="005C095D" w:rsidP="005C07FC">
            <w:pPr>
              <w:keepNext w:val="0"/>
              <w:spacing w:before="120" w:after="120" w:line="270" w:lineRule="atLeast"/>
              <w:ind w:left="230"/>
              <w:rPr>
                <w:b w:val="0"/>
                <w:sz w:val="19"/>
              </w:rPr>
            </w:pPr>
            <w:r w:rsidRPr="00CE53F0">
              <w:rPr>
                <w:b w:val="0"/>
                <w:color w:val="FFFFFF"/>
                <w:sz w:val="19"/>
              </w:rPr>
              <w:t>As a principle the City</w:t>
            </w:r>
            <w:r w:rsidRPr="00CE53F0">
              <w:rPr>
                <w:b w:val="0"/>
                <w:color w:val="FFFFFF"/>
                <w:spacing w:val="9"/>
                <w:sz w:val="19"/>
              </w:rPr>
              <w:t xml:space="preserve"> </w:t>
            </w:r>
            <w:r w:rsidRPr="00CE53F0">
              <w:rPr>
                <w:b w:val="0"/>
                <w:color w:val="FFFFFF"/>
                <w:sz w:val="19"/>
              </w:rPr>
              <w:t>will:</w:t>
            </w:r>
          </w:p>
        </w:tc>
        <w:tc>
          <w:tcPr>
            <w:tcW w:w="6946" w:type="dxa"/>
          </w:tcPr>
          <w:p w14:paraId="2D82BF71" w14:textId="77777777" w:rsidR="005C095D" w:rsidRPr="00CE53F0" w:rsidRDefault="005C095D" w:rsidP="005C07FC">
            <w:pPr>
              <w:keepNext w:val="0"/>
              <w:spacing w:before="120" w:after="120" w:line="270" w:lineRule="atLeast"/>
              <w:ind w:left="230"/>
              <w:rPr>
                <w:b w:val="0"/>
                <w:sz w:val="19"/>
              </w:rPr>
            </w:pPr>
            <w:r w:rsidRPr="00CE53F0">
              <w:rPr>
                <w:b w:val="0"/>
                <w:color w:val="FFFFFF"/>
                <w:sz w:val="19"/>
              </w:rPr>
              <w:t>What will this look like in</w:t>
            </w:r>
            <w:r w:rsidRPr="00CE53F0">
              <w:rPr>
                <w:b w:val="0"/>
                <w:color w:val="FFFFFF"/>
                <w:spacing w:val="24"/>
                <w:sz w:val="19"/>
              </w:rPr>
              <w:t xml:space="preserve"> </w:t>
            </w:r>
            <w:r w:rsidRPr="00CE53F0">
              <w:rPr>
                <w:b w:val="0"/>
                <w:color w:val="FFFFFF"/>
                <w:sz w:val="19"/>
              </w:rPr>
              <w:t>practice?</w:t>
            </w:r>
          </w:p>
        </w:tc>
      </w:tr>
      <w:tr w:rsidR="005C095D" w:rsidRPr="00CE53F0" w14:paraId="54190300" w14:textId="77777777" w:rsidTr="005C07FC">
        <w:tc>
          <w:tcPr>
            <w:tcW w:w="3119" w:type="dxa"/>
          </w:tcPr>
          <w:p w14:paraId="2050CA0F" w14:textId="77777777" w:rsidR="005C095D" w:rsidRPr="00CE53F0" w:rsidRDefault="005C095D" w:rsidP="005C07FC">
            <w:pPr>
              <w:widowControl w:val="0"/>
              <w:autoSpaceDE w:val="0"/>
              <w:autoSpaceDN w:val="0"/>
              <w:spacing w:before="86" w:after="0" w:line="259" w:lineRule="auto"/>
              <w:ind w:left="191" w:right="8"/>
              <w:rPr>
                <w:sz w:val="19"/>
              </w:rPr>
            </w:pPr>
            <w:r w:rsidRPr="00CE53F0">
              <w:rPr>
                <w:rFonts w:ascii="Arial" w:eastAsia="Arial" w:hAnsi="Arial" w:cs="Arial"/>
                <w:b/>
                <w:spacing w:val="0"/>
                <w:sz w:val="19"/>
                <w:szCs w:val="22"/>
                <w:lang w:bidi="en-AU"/>
              </w:rPr>
              <w:t>Consult and engage with the community and stakeholders</w:t>
            </w:r>
          </w:p>
        </w:tc>
        <w:tc>
          <w:tcPr>
            <w:tcW w:w="6946" w:type="dxa"/>
          </w:tcPr>
          <w:p w14:paraId="56646E40" w14:textId="77777777" w:rsidR="005C095D" w:rsidRPr="00CE53F0"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aims to connect with the community and stakeholders when planning for new, upgraded or improved infrastructure or services for the community.</w:t>
            </w:r>
          </w:p>
          <w:p w14:paraId="65E66E0E" w14:textId="77777777" w:rsidR="005C095D" w:rsidRPr="00CE53F0" w:rsidRDefault="005C095D" w:rsidP="005C07FC">
            <w:pPr>
              <w:widowControl w:val="0"/>
              <w:autoSpaceDE w:val="0"/>
              <w:autoSpaceDN w:val="0"/>
              <w:spacing w:before="118"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commits to engage with the community to ensure the community has a voice.</w:t>
            </w:r>
          </w:p>
        </w:tc>
      </w:tr>
      <w:tr w:rsidR="005C095D" w:rsidRPr="00CE53F0" w14:paraId="6C9297DB" w14:textId="77777777" w:rsidTr="005C07FC">
        <w:tc>
          <w:tcPr>
            <w:tcW w:w="3119" w:type="dxa"/>
          </w:tcPr>
          <w:p w14:paraId="5E94F0C3" w14:textId="77777777" w:rsidR="005C095D" w:rsidRPr="00CE53F0" w:rsidRDefault="005C095D" w:rsidP="005C07FC">
            <w:pPr>
              <w:widowControl w:val="0"/>
              <w:autoSpaceDE w:val="0"/>
              <w:autoSpaceDN w:val="0"/>
              <w:spacing w:before="86" w:after="0" w:line="259" w:lineRule="auto"/>
              <w:ind w:left="191" w:right="8"/>
              <w:rPr>
                <w:sz w:val="19"/>
              </w:rPr>
            </w:pPr>
            <w:r w:rsidRPr="00CE53F0">
              <w:rPr>
                <w:rFonts w:ascii="Arial" w:eastAsia="Arial" w:hAnsi="Arial" w:cs="Arial"/>
                <w:b/>
                <w:spacing w:val="0"/>
                <w:sz w:val="19"/>
                <w:szCs w:val="22"/>
                <w:lang w:bidi="en-AU"/>
              </w:rPr>
              <w:t>Be driven by evidence of need and the benefit to the community</w:t>
            </w:r>
          </w:p>
        </w:tc>
        <w:tc>
          <w:tcPr>
            <w:tcW w:w="6946" w:type="dxa"/>
          </w:tcPr>
          <w:p w14:paraId="12E559E9" w14:textId="77777777" w:rsidR="005C095D" w:rsidRPr="00CE53F0"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aims to take a purposeful and strategic approach to funding infrastructure or services that deliver meaningful community benefit and social impact.</w:t>
            </w:r>
          </w:p>
          <w:p w14:paraId="03B6F6CC" w14:textId="77777777" w:rsidR="005C095D" w:rsidRPr="00CE53F0" w:rsidRDefault="005C095D" w:rsidP="005C07FC">
            <w:pPr>
              <w:widowControl w:val="0"/>
              <w:autoSpaceDE w:val="0"/>
              <w:autoSpaceDN w:val="0"/>
              <w:spacing w:before="118"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aims to ensure that decisions are aligned to the agreed provision standards, robust evidence and the requirements of the community.</w:t>
            </w:r>
          </w:p>
          <w:p w14:paraId="1D269799" w14:textId="77777777" w:rsidR="005C095D" w:rsidRPr="00CE53F0" w:rsidRDefault="005C095D" w:rsidP="005C07FC">
            <w:pPr>
              <w:widowControl w:val="0"/>
              <w:autoSpaceDE w:val="0"/>
              <w:autoSpaceDN w:val="0"/>
              <w:spacing w:before="118" w:after="0" w:line="297" w:lineRule="auto"/>
              <w:ind w:left="157" w:right="656"/>
              <w:rPr>
                <w:rFonts w:ascii="Arial" w:eastAsia="Arial" w:hAnsi="Arial" w:cs="Arial"/>
                <w:spacing w:val="0"/>
                <w:sz w:val="19"/>
                <w:lang w:bidi="en-AU"/>
              </w:rPr>
            </w:pPr>
            <w:r w:rsidRPr="00CE53F0">
              <w:rPr>
                <w:rFonts w:ascii="Arial" w:eastAsia="Arial" w:hAnsi="Arial" w:cs="Arial"/>
                <w:spacing w:val="0"/>
                <w:sz w:val="19"/>
                <w:lang w:bidi="en-AU"/>
              </w:rPr>
              <w:t xml:space="preserve">As a priority, the City aims to consider solutions that meet safety and mobility outcomes, the place-based needs of the community and focus on addressing social challenges, economic impacts and opportunities. </w:t>
            </w:r>
          </w:p>
        </w:tc>
      </w:tr>
      <w:tr w:rsidR="005C095D" w:rsidRPr="00CE53F0" w14:paraId="2E9427BC" w14:textId="77777777" w:rsidTr="005C07FC">
        <w:tc>
          <w:tcPr>
            <w:tcW w:w="3119" w:type="dxa"/>
          </w:tcPr>
          <w:p w14:paraId="4ED88D24" w14:textId="77777777" w:rsidR="005C095D" w:rsidRPr="00CE53F0" w:rsidRDefault="005C095D" w:rsidP="005C07FC">
            <w:pPr>
              <w:widowControl w:val="0"/>
              <w:autoSpaceDE w:val="0"/>
              <w:autoSpaceDN w:val="0"/>
              <w:spacing w:before="86" w:after="0" w:line="259" w:lineRule="auto"/>
              <w:ind w:left="191" w:right="8"/>
              <w:rPr>
                <w:sz w:val="19"/>
              </w:rPr>
            </w:pPr>
            <w:r w:rsidRPr="00CE53F0">
              <w:rPr>
                <w:rFonts w:ascii="Arial" w:eastAsia="Arial" w:hAnsi="Arial" w:cs="Arial"/>
                <w:b/>
                <w:spacing w:val="0"/>
                <w:sz w:val="19"/>
                <w:szCs w:val="22"/>
                <w:lang w:bidi="en-AU"/>
              </w:rPr>
              <w:t>Provide access to services where it is needed, in a timely way</w:t>
            </w:r>
          </w:p>
        </w:tc>
        <w:tc>
          <w:tcPr>
            <w:tcW w:w="6946" w:type="dxa"/>
          </w:tcPr>
          <w:p w14:paraId="64AB7D29" w14:textId="77777777" w:rsidR="005C095D" w:rsidRPr="00CE53F0"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aims to ensure that service and infrastructure design, location, and support arrangements address the needs and obstacles faced by the community.</w:t>
            </w:r>
          </w:p>
          <w:p w14:paraId="21ED7AFE" w14:textId="77777777" w:rsidR="005C095D" w:rsidRPr="00CE53F0"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aims to ensure that the community has access to infrastructure, support and services where it is needed and as soon as practicable.</w:t>
            </w:r>
          </w:p>
        </w:tc>
      </w:tr>
      <w:tr w:rsidR="005C095D" w:rsidRPr="00CE53F0" w14:paraId="3A2C2CF0" w14:textId="77777777" w:rsidTr="005C07FC">
        <w:tc>
          <w:tcPr>
            <w:tcW w:w="3119" w:type="dxa"/>
          </w:tcPr>
          <w:p w14:paraId="04C51963" w14:textId="77777777" w:rsidR="005C095D" w:rsidRPr="00D125B4" w:rsidRDefault="005C095D" w:rsidP="005C07FC">
            <w:pPr>
              <w:widowControl w:val="0"/>
              <w:autoSpaceDE w:val="0"/>
              <w:autoSpaceDN w:val="0"/>
              <w:spacing w:before="86" w:after="0" w:line="259" w:lineRule="auto"/>
              <w:ind w:left="191" w:right="8"/>
              <w:rPr>
                <w:sz w:val="19"/>
              </w:rPr>
            </w:pPr>
            <w:r w:rsidRPr="00D125B4">
              <w:rPr>
                <w:rFonts w:ascii="Arial" w:eastAsia="Arial" w:hAnsi="Arial" w:cs="Arial"/>
                <w:b/>
                <w:spacing w:val="0"/>
                <w:sz w:val="19"/>
                <w:szCs w:val="22"/>
                <w:lang w:bidi="en-AU"/>
              </w:rPr>
              <w:t>Align decisions with Council’s role, strategic priorities, and needs of the community</w:t>
            </w:r>
          </w:p>
        </w:tc>
        <w:tc>
          <w:tcPr>
            <w:tcW w:w="6946" w:type="dxa"/>
          </w:tcPr>
          <w:p w14:paraId="186BA663" w14:textId="77777777" w:rsidR="005C095D" w:rsidRPr="00D125B4"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D125B4">
              <w:rPr>
                <w:rFonts w:ascii="Arial" w:eastAsia="Arial" w:hAnsi="Arial" w:cs="Arial"/>
                <w:spacing w:val="0"/>
                <w:sz w:val="19"/>
                <w:lang w:bidi="en-AU"/>
              </w:rPr>
              <w:t>The City aims to ensure that community spend is focussed on delivering strategic objectives and priorities, while ensuring there are appropriate mechanisms to consider community led ideas and initiatives.</w:t>
            </w:r>
          </w:p>
          <w:p w14:paraId="74DAD903" w14:textId="77777777" w:rsidR="005C095D" w:rsidRPr="00D125B4"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D125B4">
              <w:rPr>
                <w:rFonts w:ascii="Arial" w:eastAsia="Arial" w:hAnsi="Arial" w:cs="Arial"/>
                <w:spacing w:val="0"/>
                <w:sz w:val="19"/>
                <w:lang w:bidi="en-AU"/>
              </w:rPr>
              <w:t>The City aims to play a stronger role as an advocate, leader, facilitator, planner, monitor and part funder of new and upgraded services. The City aims to continue to fulfil a variety of roles as appropriate, including the support and delivery of new and upgraded infrastructure and services.</w:t>
            </w:r>
          </w:p>
          <w:p w14:paraId="0AC43903" w14:textId="77777777" w:rsidR="005C095D" w:rsidRPr="00D125B4"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5C728E">
              <w:rPr>
                <w:rFonts w:ascii="Arial" w:eastAsia="Arial" w:hAnsi="Arial" w:cs="Arial"/>
                <w:spacing w:val="0"/>
                <w:sz w:val="19"/>
                <w:lang w:bidi="en-AU"/>
              </w:rPr>
              <w:t>If the City identifies the need for new or upgraded infrastructure but the contributing parties do not support the Scheme, it may still proceed if the City contributes more than one-third of the total cost. Under Section 163B of the Local Government Act 1989, the Scheme can proceed even if a majority of property owners object, provided the Council’s contribution exceeds one-third of the cost. Alternatively, the City may refer the proposal to Council’s budget process and/or explore external funding sources.</w:t>
            </w:r>
          </w:p>
          <w:p w14:paraId="24CBD161" w14:textId="77777777" w:rsidR="005C095D" w:rsidRPr="00D125B4"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D125B4">
              <w:rPr>
                <w:rFonts w:ascii="Arial" w:eastAsia="Arial" w:hAnsi="Arial" w:cs="Arial"/>
                <w:spacing w:val="0"/>
                <w:sz w:val="19"/>
                <w:lang w:bidi="en-AU"/>
              </w:rPr>
              <w:t>The City aims to be fair and transparent in its funding priorities, processes and decision making, ensuring funding achieves best value.</w:t>
            </w:r>
          </w:p>
        </w:tc>
      </w:tr>
      <w:tr w:rsidR="005C095D" w:rsidRPr="00CE53F0" w14:paraId="3A8F2AF8" w14:textId="77777777" w:rsidTr="005C07FC">
        <w:tc>
          <w:tcPr>
            <w:tcW w:w="3119" w:type="dxa"/>
          </w:tcPr>
          <w:p w14:paraId="4BC4BD97" w14:textId="77777777" w:rsidR="005C095D" w:rsidRPr="00CE53F0" w:rsidRDefault="005C095D" w:rsidP="005C07FC">
            <w:pPr>
              <w:widowControl w:val="0"/>
              <w:autoSpaceDE w:val="0"/>
              <w:autoSpaceDN w:val="0"/>
              <w:spacing w:before="86" w:after="0" w:line="259" w:lineRule="auto"/>
              <w:ind w:left="191" w:right="8"/>
              <w:rPr>
                <w:rFonts w:ascii="Arial" w:eastAsia="Arial" w:hAnsi="Arial" w:cs="Arial"/>
                <w:b/>
                <w:spacing w:val="0"/>
                <w:sz w:val="19"/>
                <w:szCs w:val="22"/>
                <w:lang w:bidi="en-AU"/>
              </w:rPr>
            </w:pPr>
            <w:r w:rsidRPr="00CE53F0">
              <w:rPr>
                <w:rFonts w:ascii="Arial" w:eastAsia="Arial" w:hAnsi="Arial" w:cs="Arial"/>
                <w:b/>
                <w:spacing w:val="0"/>
                <w:sz w:val="19"/>
                <w:szCs w:val="22"/>
                <w:lang w:bidi="en-AU"/>
              </w:rPr>
              <w:t>Demonstrate fairness and transparency in decision making</w:t>
            </w:r>
          </w:p>
          <w:p w14:paraId="55AA31DB" w14:textId="77777777" w:rsidR="005C095D" w:rsidRPr="00CE53F0" w:rsidRDefault="005C095D" w:rsidP="005C07FC">
            <w:pPr>
              <w:spacing w:before="86" w:after="120" w:line="270" w:lineRule="atLeast"/>
              <w:rPr>
                <w:sz w:val="19"/>
              </w:rPr>
            </w:pPr>
          </w:p>
        </w:tc>
        <w:tc>
          <w:tcPr>
            <w:tcW w:w="6946" w:type="dxa"/>
          </w:tcPr>
          <w:p w14:paraId="7D477CE4" w14:textId="77777777" w:rsidR="005C095D" w:rsidRPr="00CE53F0" w:rsidRDefault="005C095D" w:rsidP="005C07FC">
            <w:pPr>
              <w:widowControl w:val="0"/>
              <w:autoSpaceDE w:val="0"/>
              <w:autoSpaceDN w:val="0"/>
              <w:spacing w:before="86" w:after="0" w:line="297" w:lineRule="auto"/>
              <w:ind w:left="157" w:right="592"/>
              <w:rPr>
                <w:rFonts w:ascii="Arial" w:eastAsia="Arial" w:hAnsi="Arial" w:cs="Arial"/>
                <w:spacing w:val="0"/>
                <w:sz w:val="19"/>
                <w:lang w:bidi="en-AU"/>
              </w:rPr>
            </w:pPr>
            <w:r w:rsidRPr="00CE53F0">
              <w:rPr>
                <w:rFonts w:ascii="Arial" w:eastAsia="Arial" w:hAnsi="Arial" w:cs="Arial"/>
                <w:spacing w:val="0"/>
                <w:sz w:val="19"/>
                <w:lang w:bidi="en-AU"/>
              </w:rPr>
              <w:t>The City aims to provide the community with a clear understanding of Council’s role and how decisions are made to ensure that the community understands what is planned for the place that they live.</w:t>
            </w:r>
          </w:p>
        </w:tc>
      </w:tr>
    </w:tbl>
    <w:p w14:paraId="1C0A2518" w14:textId="2F470C75" w:rsidR="005C095D" w:rsidRDefault="005C095D" w:rsidP="005C095D">
      <w:pPr>
        <w:pStyle w:val="Heading1"/>
      </w:pPr>
      <w:bookmarkStart w:id="13" w:name="_Toc213167814"/>
      <w:bookmarkStart w:id="14" w:name="_Toc214566465"/>
      <w:r>
        <w:lastRenderedPageBreak/>
        <w:t>prioritisation framework</w:t>
      </w:r>
      <w:r w:rsidRPr="005C095D">
        <w:t xml:space="preserve"> </w:t>
      </w:r>
      <w:r w:rsidRPr="005C095D">
        <w:rPr>
          <w:noProof/>
        </w:rPr>
        <w:drawing>
          <wp:inline distT="0" distB="0" distL="0" distR="0" wp14:anchorId="0532AF96" wp14:editId="357742FD">
            <wp:extent cx="6120765" cy="3895090"/>
            <wp:effectExtent l="0" t="0" r="0" b="0"/>
            <wp:docPr id="208566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3895090"/>
                    </a:xfrm>
                    <a:prstGeom prst="rect">
                      <a:avLst/>
                    </a:prstGeom>
                    <a:noFill/>
                    <a:ln>
                      <a:noFill/>
                    </a:ln>
                  </pic:spPr>
                </pic:pic>
              </a:graphicData>
            </a:graphic>
          </wp:inline>
        </w:drawing>
      </w:r>
      <w:bookmarkEnd w:id="13"/>
      <w:bookmarkEnd w:id="14"/>
    </w:p>
    <w:p w14:paraId="1E42BCF3" w14:textId="77777777" w:rsidR="00003D6F" w:rsidRDefault="00003D6F" w:rsidP="00003D6F">
      <w:pPr>
        <w:pStyle w:val="Heading4"/>
        <w:numPr>
          <w:ilvl w:val="0"/>
          <w:numId w:val="0"/>
        </w:numPr>
      </w:pPr>
    </w:p>
    <w:p w14:paraId="4E9C2371" w14:textId="028ACA6F" w:rsidR="00FB5158" w:rsidRDefault="00FB5158">
      <w:r>
        <w:br w:type="page"/>
      </w:r>
    </w:p>
    <w:p w14:paraId="156A6C2D" w14:textId="250CA874" w:rsidR="00DD2FB1" w:rsidRDefault="00FB5158" w:rsidP="00FB5158">
      <w:pPr>
        <w:pStyle w:val="AttachmentHeading1"/>
        <w:framePr w:wrap="around"/>
      </w:pPr>
      <w:bookmarkStart w:id="15" w:name="_Toc214566466"/>
      <w:r>
        <w:lastRenderedPageBreak/>
        <w:t>Implementation of this Policy</w:t>
      </w:r>
      <w:bookmarkEnd w:id="15"/>
      <w:r>
        <w:t xml:space="preserve"> </w:t>
      </w:r>
    </w:p>
    <w:p w14:paraId="0798E394" w14:textId="63481E51" w:rsidR="00590077" w:rsidRDefault="00590077" w:rsidP="00590077">
      <w:pPr>
        <w:pStyle w:val="AttachmentHeading2"/>
      </w:pPr>
      <w:bookmarkStart w:id="16" w:name="_Toc527374258"/>
      <w:bookmarkStart w:id="17" w:name="_Toc214566467"/>
      <w:r w:rsidRPr="00280F07">
        <w:t>Monitoring and reporting</w:t>
      </w:r>
      <w:bookmarkEnd w:id="16"/>
      <w:bookmarkEnd w:id="17"/>
    </w:p>
    <w:sdt>
      <w:sdtPr>
        <w:rPr>
          <w:rFonts w:ascii="Arial" w:eastAsiaTheme="minorHAnsi" w:hAnsi="Arial" w:cstheme="minorBidi"/>
          <w:spacing w:val="0"/>
          <w:sz w:val="22"/>
          <w:szCs w:val="22"/>
          <w:lang w:eastAsia="en-US"/>
        </w:rPr>
        <w:id w:val="-25411065"/>
        <w:placeholder>
          <w:docPart w:val="B1056783A1FD43CD9368C36B6B577904"/>
        </w:placeholder>
      </w:sdtPr>
      <w:sdtContent>
        <w:p w14:paraId="6ADE0F90" w14:textId="77777777" w:rsidR="00F00EC0" w:rsidRPr="00AD2355" w:rsidRDefault="00F00EC0" w:rsidP="00F00EC0">
          <w:pPr>
            <w:spacing w:before="120" w:after="120" w:line="270" w:lineRule="atLeast"/>
            <w:ind w:left="133"/>
            <w:jc w:val="left"/>
          </w:pPr>
          <w:r w:rsidRPr="00AD2355">
            <w:t>The City’s commitment to the implementation of this Policy includes:</w:t>
          </w:r>
        </w:p>
        <w:p w14:paraId="6407ED83" w14:textId="77777777" w:rsidR="00F00EC0" w:rsidRPr="00AD2355" w:rsidRDefault="00F00EC0" w:rsidP="00F00EC0">
          <w:pPr>
            <w:widowControl w:val="0"/>
            <w:numPr>
              <w:ilvl w:val="0"/>
              <w:numId w:val="44"/>
            </w:numPr>
            <w:tabs>
              <w:tab w:val="left" w:pos="859"/>
              <w:tab w:val="left" w:pos="860"/>
            </w:tabs>
            <w:autoSpaceDE w:val="0"/>
            <w:autoSpaceDN w:val="0"/>
            <w:spacing w:before="177" w:line="259" w:lineRule="auto"/>
            <w:ind w:left="860" w:right="553" w:hanging="360"/>
            <w:jc w:val="left"/>
            <w:rPr>
              <w:rFonts w:ascii="Arial" w:eastAsiaTheme="minorHAnsi" w:hAnsi="Arial" w:cstheme="minorBidi"/>
              <w:spacing w:val="0"/>
              <w:szCs w:val="22"/>
              <w:lang w:eastAsia="en-US"/>
            </w:rPr>
          </w:pPr>
          <w:r w:rsidRPr="00AD2355">
            <w:rPr>
              <w:rFonts w:ascii="Arial" w:eastAsiaTheme="minorHAnsi" w:hAnsi="Arial" w:cstheme="minorBidi"/>
              <w:spacing w:val="0"/>
              <w:szCs w:val="22"/>
              <w:lang w:eastAsia="en-US"/>
            </w:rPr>
            <w:t>Providing a rolling four-year Special Rate and Charge infrastructure plan in alignment with Council’s Community Plan and the long-term financial plan;</w:t>
          </w:r>
          <w:r w:rsidRPr="00AD2355">
            <w:rPr>
              <w:rFonts w:ascii="Arial" w:eastAsiaTheme="minorHAnsi" w:hAnsi="Arial" w:cstheme="minorBidi"/>
              <w:spacing w:val="6"/>
              <w:szCs w:val="22"/>
              <w:lang w:eastAsia="en-US"/>
            </w:rPr>
            <w:t xml:space="preserve"> </w:t>
          </w:r>
          <w:r w:rsidRPr="00AD2355">
            <w:rPr>
              <w:rFonts w:ascii="Arial" w:eastAsiaTheme="minorHAnsi" w:hAnsi="Arial" w:cstheme="minorBidi"/>
              <w:spacing w:val="0"/>
              <w:szCs w:val="22"/>
              <w:lang w:eastAsia="en-US"/>
            </w:rPr>
            <w:t>and</w:t>
          </w:r>
        </w:p>
        <w:p w14:paraId="1F2FB181" w14:textId="77777777" w:rsidR="00F00EC0" w:rsidRPr="00AD2355" w:rsidRDefault="00F00EC0" w:rsidP="00F00EC0">
          <w:pPr>
            <w:widowControl w:val="0"/>
            <w:numPr>
              <w:ilvl w:val="0"/>
              <w:numId w:val="44"/>
            </w:numPr>
            <w:tabs>
              <w:tab w:val="left" w:pos="859"/>
              <w:tab w:val="left" w:pos="860"/>
            </w:tabs>
            <w:autoSpaceDE w:val="0"/>
            <w:autoSpaceDN w:val="0"/>
            <w:spacing w:before="177" w:line="259" w:lineRule="auto"/>
            <w:ind w:left="860" w:right="553" w:hanging="360"/>
            <w:jc w:val="left"/>
            <w:rPr>
              <w:rFonts w:ascii="Arial" w:eastAsiaTheme="minorHAnsi" w:hAnsi="Arial" w:cstheme="minorBidi"/>
              <w:spacing w:val="0"/>
              <w:szCs w:val="22"/>
              <w:lang w:eastAsia="en-US"/>
            </w:rPr>
          </w:pPr>
          <w:r w:rsidRPr="00AD2355">
            <w:rPr>
              <w:rFonts w:ascii="Arial" w:eastAsiaTheme="minorHAnsi" w:hAnsi="Arial" w:cstheme="minorBidi"/>
              <w:spacing w:val="0"/>
              <w:szCs w:val="22"/>
              <w:lang w:eastAsia="en-US"/>
            </w:rPr>
            <w:t>Periodically review the economic development derived from commercial businesses for services provided through a Special Rate and Charge Scheme; and</w:t>
          </w:r>
        </w:p>
        <w:p w14:paraId="03B95F75" w14:textId="77777777" w:rsidR="00F00EC0" w:rsidRPr="00AD2355" w:rsidRDefault="00F00EC0" w:rsidP="00F00EC0">
          <w:pPr>
            <w:widowControl w:val="0"/>
            <w:numPr>
              <w:ilvl w:val="0"/>
              <w:numId w:val="44"/>
            </w:numPr>
            <w:tabs>
              <w:tab w:val="left" w:pos="859"/>
              <w:tab w:val="left" w:pos="860"/>
            </w:tabs>
            <w:autoSpaceDE w:val="0"/>
            <w:autoSpaceDN w:val="0"/>
            <w:spacing w:before="160" w:line="259" w:lineRule="auto"/>
            <w:ind w:left="860" w:right="970" w:hanging="360"/>
            <w:jc w:val="left"/>
            <w:rPr>
              <w:rFonts w:ascii="Arial" w:eastAsiaTheme="minorHAnsi" w:hAnsi="Arial" w:cstheme="minorBidi"/>
              <w:spacing w:val="0"/>
              <w:szCs w:val="22"/>
              <w:lang w:eastAsia="en-US"/>
            </w:rPr>
          </w:pPr>
          <w:r w:rsidRPr="00AD2355">
            <w:rPr>
              <w:rFonts w:ascii="Arial" w:eastAsiaTheme="minorHAnsi" w:hAnsi="Arial" w:cstheme="minorBidi"/>
              <w:spacing w:val="0"/>
              <w:szCs w:val="22"/>
              <w:lang w:eastAsia="en-US"/>
            </w:rPr>
            <w:t>Conduct an annual review of Special Rate and Charge Scheme priorities.</w:t>
          </w:r>
        </w:p>
      </w:sdtContent>
    </w:sdt>
    <w:p w14:paraId="162871CA" w14:textId="77777777" w:rsidR="00590077" w:rsidRDefault="00590077" w:rsidP="00590077">
      <w:pPr>
        <w:pStyle w:val="BodyText"/>
      </w:pPr>
    </w:p>
    <w:p w14:paraId="28A222EF" w14:textId="77777777" w:rsidR="00590077" w:rsidRDefault="00590077" w:rsidP="00590077">
      <w:pPr>
        <w:pStyle w:val="AttachmentHeading2"/>
      </w:pPr>
      <w:bookmarkStart w:id="18" w:name="_Toc511644877"/>
      <w:bookmarkStart w:id="19" w:name="_Toc527374259"/>
      <w:bookmarkStart w:id="20" w:name="_Toc214566468"/>
      <w:r w:rsidRPr="00670856">
        <w:t>Advice and assistance</w:t>
      </w:r>
      <w:bookmarkEnd w:id="18"/>
      <w:bookmarkEnd w:id="19"/>
      <w:bookmarkEnd w:id="20"/>
    </w:p>
    <w:p w14:paraId="6F22E86A" w14:textId="77777777" w:rsidR="00590077" w:rsidRDefault="00590077" w:rsidP="00590077">
      <w:pPr>
        <w:pStyle w:val="BodyText"/>
      </w:pPr>
      <w:r>
        <w:t xml:space="preserve">The </w:t>
      </w:r>
      <w:hyperlink w:anchor="_Responsible_Officer" w:history="1">
        <w:r w:rsidRPr="00AA7AE3">
          <w:rPr>
            <w:rStyle w:val="Hyperlink"/>
          </w:rPr>
          <w:t>Responsible Officer</w:t>
        </w:r>
      </w:hyperlink>
      <w:r>
        <w:t xml:space="preserve"> for this policy manages the provision of advice to the organisation regarding this policy.</w:t>
      </w:r>
    </w:p>
    <w:p w14:paraId="293B1030" w14:textId="77777777" w:rsidR="00590077" w:rsidRDefault="00590077" w:rsidP="00590077">
      <w:pPr>
        <w:pStyle w:val="BodyText"/>
      </w:pPr>
      <w:r>
        <w:t xml:space="preserve">A person who is uncertain how to comply with this policy should seek advice from this person or from their Manager. </w:t>
      </w:r>
    </w:p>
    <w:p w14:paraId="40A129E5" w14:textId="77777777" w:rsidR="00030BBF" w:rsidRDefault="00030BBF" w:rsidP="00590077">
      <w:pPr>
        <w:pStyle w:val="AttachmentHeading2"/>
      </w:pPr>
      <w:bookmarkStart w:id="21" w:name="_Document_Management_Framework"/>
      <w:bookmarkStart w:id="22" w:name="_Toc527374260"/>
      <w:bookmarkEnd w:id="21"/>
    </w:p>
    <w:p w14:paraId="523FE659" w14:textId="2572CFF8" w:rsidR="00590077" w:rsidRDefault="00590077" w:rsidP="00590077">
      <w:pPr>
        <w:pStyle w:val="AttachmentHeading2"/>
      </w:pPr>
      <w:bookmarkStart w:id="23" w:name="_Toc214566469"/>
      <w:r>
        <w:t>Records</w:t>
      </w:r>
      <w:bookmarkEnd w:id="22"/>
      <w:bookmarkEnd w:id="23"/>
    </w:p>
    <w:p w14:paraId="7874C343" w14:textId="5C7117C7" w:rsidR="00590077" w:rsidRDefault="00590077" w:rsidP="00590077">
      <w:pPr>
        <w:pStyle w:val="BodyText"/>
        <w:spacing w:after="240"/>
      </w:pPr>
      <w:r>
        <w:t>The City must retain r</w:t>
      </w:r>
      <w:r w:rsidRPr="00670856">
        <w:t>ecords</w:t>
      </w:r>
      <w:r>
        <w:t xml:space="preserve"> associated with this </w:t>
      </w:r>
      <w:r w:rsidR="00FE23E1">
        <w:t>P</w:t>
      </w:r>
      <w:r>
        <w:t>olicy</w:t>
      </w:r>
      <w:r w:rsidRPr="00670856">
        <w:t xml:space="preserve"> </w:t>
      </w:r>
      <w:r>
        <w:t xml:space="preserve">and its implementation </w:t>
      </w:r>
      <w:r w:rsidR="00FE23E1">
        <w:t xml:space="preserve">in accordance with its Records Information Management Policy </w:t>
      </w:r>
    </w:p>
    <w:p w14:paraId="7D1A059D" w14:textId="77777777" w:rsidR="00030BBF" w:rsidRDefault="00030BBF" w:rsidP="00590077">
      <w:pPr>
        <w:pStyle w:val="AttachmentHeading2"/>
      </w:pPr>
      <w:bookmarkStart w:id="24" w:name="_Toc527374261"/>
    </w:p>
    <w:p w14:paraId="3F4415B8" w14:textId="495C82FD" w:rsidR="00590077" w:rsidRDefault="00590077" w:rsidP="00590077">
      <w:pPr>
        <w:pStyle w:val="AttachmentHeading2"/>
      </w:pPr>
      <w:bookmarkStart w:id="25" w:name="_Toc214566470"/>
      <w:r>
        <w:t>Review</w:t>
      </w:r>
      <w:bookmarkEnd w:id="24"/>
      <w:bookmarkEnd w:id="25"/>
    </w:p>
    <w:p w14:paraId="51152027" w14:textId="067599BD" w:rsidR="005C367C" w:rsidRDefault="00590077" w:rsidP="00590077">
      <w:pPr>
        <w:pStyle w:val="BodyText"/>
      </w:pPr>
      <w:r w:rsidRPr="00AA7AE3">
        <w:t xml:space="preserve">The City should review and, </w:t>
      </w:r>
      <w:r>
        <w:t xml:space="preserve">if necessary, amend this </w:t>
      </w:r>
      <w:r w:rsidR="00030BBF">
        <w:t>P</w:t>
      </w:r>
      <w:r>
        <w:t>olicy</w:t>
      </w:r>
      <w:r w:rsidRPr="00AA7AE3">
        <w:t xml:space="preserve"> within</w:t>
      </w:r>
      <w:r>
        <w:t xml:space="preserve"> </w:t>
      </w:r>
      <w:r w:rsidR="00F00EC0">
        <w:t>four years</w:t>
      </w:r>
      <w:r w:rsidR="005C367C">
        <w:t xml:space="preserve"> of the </w:t>
      </w:r>
      <w:r w:rsidR="00030BBF">
        <w:t>A</w:t>
      </w:r>
      <w:r w:rsidR="005C367C">
        <w:t xml:space="preserve">pproval </w:t>
      </w:r>
      <w:r w:rsidR="00030BBF">
        <w:t>D</w:t>
      </w:r>
      <w:r w:rsidR="005C367C">
        <w:t>ate.</w:t>
      </w:r>
    </w:p>
    <w:p w14:paraId="4669D5B8" w14:textId="3FDC83F1" w:rsidR="00185BA6" w:rsidRDefault="00185BA6">
      <w:r>
        <w:br w:type="page"/>
      </w:r>
    </w:p>
    <w:p w14:paraId="09BE979C" w14:textId="7A532C23" w:rsidR="00FB5158" w:rsidRDefault="00185BA6" w:rsidP="00185BA6">
      <w:pPr>
        <w:pStyle w:val="AttachmentHeading1"/>
        <w:framePr w:wrap="around"/>
      </w:pPr>
      <w:bookmarkStart w:id="26" w:name="_Toc214566471"/>
      <w:r>
        <w:lastRenderedPageBreak/>
        <w:t>References</w:t>
      </w:r>
      <w:bookmarkEnd w:id="26"/>
    </w:p>
    <w:p w14:paraId="3A152B3C" w14:textId="7CFB5EA2" w:rsidR="00185BA6" w:rsidRDefault="00185BA6" w:rsidP="00DF644E">
      <w:pPr>
        <w:pStyle w:val="BodyText"/>
        <w:rPr>
          <w:b/>
          <w:bCs/>
        </w:rPr>
      </w:pPr>
      <w:r>
        <w:rPr>
          <w:b/>
          <w:bCs/>
        </w:rPr>
        <w:t>Legislation</w:t>
      </w:r>
    </w:p>
    <w:p w14:paraId="681BDA85" w14:textId="77777777" w:rsidR="001A1110" w:rsidRPr="009E55A0" w:rsidRDefault="001A1110" w:rsidP="001A1110">
      <w:pPr>
        <w:numPr>
          <w:ilvl w:val="0"/>
          <w:numId w:val="45"/>
        </w:numPr>
        <w:spacing w:before="120" w:after="120" w:line="270" w:lineRule="atLeast"/>
        <w:jc w:val="left"/>
      </w:pPr>
      <w:r w:rsidRPr="009E55A0">
        <w:t>Local Government Act 1989</w:t>
      </w:r>
    </w:p>
    <w:p w14:paraId="0F9B1356" w14:textId="77777777" w:rsidR="001A1110" w:rsidRDefault="001A1110" w:rsidP="001A1110">
      <w:pPr>
        <w:numPr>
          <w:ilvl w:val="0"/>
          <w:numId w:val="45"/>
        </w:numPr>
        <w:spacing w:before="120" w:after="120" w:line="270" w:lineRule="atLeast"/>
        <w:jc w:val="left"/>
      </w:pPr>
      <w:r w:rsidRPr="009E55A0">
        <w:t>Local Government Act 2020</w:t>
      </w:r>
    </w:p>
    <w:p w14:paraId="4B4176C0" w14:textId="77777777" w:rsidR="001A1110" w:rsidRPr="005C728E" w:rsidRDefault="001A1110" w:rsidP="001A1110">
      <w:pPr>
        <w:numPr>
          <w:ilvl w:val="0"/>
          <w:numId w:val="45"/>
        </w:numPr>
        <w:spacing w:before="120" w:after="120" w:line="270" w:lineRule="atLeast"/>
        <w:jc w:val="left"/>
      </w:pPr>
      <w:r w:rsidRPr="005C728E">
        <w:t>Ministerial Guidelines 2004</w:t>
      </w:r>
    </w:p>
    <w:p w14:paraId="0C0F8DC3" w14:textId="4BBE2816" w:rsidR="00941651" w:rsidRDefault="00941651" w:rsidP="00DF644E">
      <w:pPr>
        <w:pStyle w:val="BodyText"/>
        <w:rPr>
          <w:b/>
          <w:bCs/>
        </w:rPr>
      </w:pPr>
    </w:p>
    <w:p w14:paraId="5914C150" w14:textId="3B729539" w:rsidR="00941651" w:rsidRDefault="00941651" w:rsidP="00DF644E">
      <w:pPr>
        <w:pStyle w:val="BodyText"/>
        <w:rPr>
          <w:b/>
          <w:bCs/>
        </w:rPr>
      </w:pPr>
      <w:r>
        <w:rPr>
          <w:b/>
          <w:bCs/>
        </w:rPr>
        <w:t>Other Documents</w:t>
      </w:r>
    </w:p>
    <w:p w14:paraId="5D1E8403" w14:textId="77777777" w:rsidR="001A1110" w:rsidRDefault="001A1110" w:rsidP="001A1110">
      <w:pPr>
        <w:pStyle w:val="BodyText"/>
        <w:numPr>
          <w:ilvl w:val="0"/>
          <w:numId w:val="46"/>
        </w:numPr>
      </w:pPr>
      <w:r>
        <w:t>Records Information Management Policy</w:t>
      </w:r>
    </w:p>
    <w:p w14:paraId="76BB3EAE" w14:textId="77777777" w:rsidR="001A1110" w:rsidRDefault="001A1110" w:rsidP="001A1110">
      <w:pPr>
        <w:pStyle w:val="BodyText"/>
        <w:numPr>
          <w:ilvl w:val="0"/>
          <w:numId w:val="46"/>
        </w:numPr>
      </w:pPr>
      <w:r w:rsidRPr="009E55A0">
        <w:t>Infrastructure Design Manual (IDM)</w:t>
      </w:r>
    </w:p>
    <w:p w14:paraId="08608004" w14:textId="77777777" w:rsidR="001A1110" w:rsidRDefault="001A1110" w:rsidP="001A1110">
      <w:pPr>
        <w:pStyle w:val="BodyText"/>
        <w:numPr>
          <w:ilvl w:val="0"/>
          <w:numId w:val="46"/>
        </w:numPr>
      </w:pPr>
      <w:r w:rsidRPr="009E55A0">
        <w:t>Community Plan 2025-2029</w:t>
      </w:r>
    </w:p>
    <w:p w14:paraId="791BD505" w14:textId="77777777" w:rsidR="001A1110" w:rsidRPr="005C728E" w:rsidRDefault="001A1110" w:rsidP="001A1110">
      <w:pPr>
        <w:pStyle w:val="BodyText"/>
        <w:numPr>
          <w:ilvl w:val="0"/>
          <w:numId w:val="46"/>
        </w:numPr>
      </w:pPr>
      <w:r w:rsidRPr="005C728E">
        <w:t>Special Rate and Charge Scheme Procedure 2025</w:t>
      </w:r>
    </w:p>
    <w:p w14:paraId="1A2C97B2" w14:textId="77777777" w:rsidR="00BC31F6" w:rsidRPr="00941651" w:rsidRDefault="00BC31F6" w:rsidP="00DF644E">
      <w:pPr>
        <w:pStyle w:val="BodyText"/>
      </w:pPr>
    </w:p>
    <w:sectPr w:rsidR="00BC31F6" w:rsidRPr="00941651" w:rsidSect="005C1B0A">
      <w:pgSz w:w="11907" w:h="16840" w:code="9"/>
      <w:pgMar w:top="1134" w:right="1134" w:bottom="794" w:left="113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3D14" w14:textId="77777777" w:rsidR="00F761D7" w:rsidRDefault="00F761D7" w:rsidP="00CE604F">
      <w:r>
        <w:separator/>
      </w:r>
    </w:p>
    <w:p w14:paraId="208EDA65" w14:textId="77777777" w:rsidR="00F761D7" w:rsidRDefault="00F761D7" w:rsidP="00CE604F"/>
    <w:p w14:paraId="235D1C06" w14:textId="77777777" w:rsidR="00F761D7" w:rsidRDefault="00F761D7" w:rsidP="00CE604F"/>
    <w:p w14:paraId="4608E906" w14:textId="77777777" w:rsidR="00F761D7" w:rsidRDefault="00F761D7" w:rsidP="00CE604F"/>
    <w:p w14:paraId="5EE052A9" w14:textId="77777777" w:rsidR="00F761D7" w:rsidRDefault="00F761D7"/>
    <w:p w14:paraId="5ED0022C" w14:textId="77777777" w:rsidR="00F761D7" w:rsidRDefault="00F761D7"/>
  </w:endnote>
  <w:endnote w:type="continuationSeparator" w:id="0">
    <w:p w14:paraId="56915B05" w14:textId="77777777" w:rsidR="00F761D7" w:rsidRDefault="00F761D7" w:rsidP="00CE604F">
      <w:r>
        <w:continuationSeparator/>
      </w:r>
    </w:p>
    <w:p w14:paraId="215DAD74" w14:textId="77777777" w:rsidR="00F761D7" w:rsidRDefault="00F761D7" w:rsidP="00CE604F"/>
    <w:p w14:paraId="21D3FE6E" w14:textId="77777777" w:rsidR="00F761D7" w:rsidRDefault="00F761D7" w:rsidP="00CE604F"/>
    <w:p w14:paraId="5CD479C8" w14:textId="77777777" w:rsidR="00F761D7" w:rsidRDefault="00F761D7" w:rsidP="00CE604F"/>
    <w:p w14:paraId="5E50D3DB" w14:textId="77777777" w:rsidR="00F761D7" w:rsidRDefault="00F761D7"/>
    <w:p w14:paraId="5DDC6F78" w14:textId="77777777" w:rsidR="00F761D7" w:rsidRDefault="00F76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1286" w14:textId="77777777" w:rsidR="00F761D7" w:rsidRDefault="00F761D7" w:rsidP="00CE604F">
      <w:r>
        <w:separator/>
      </w:r>
    </w:p>
    <w:p w14:paraId="3E4774B3" w14:textId="77777777" w:rsidR="00F761D7" w:rsidRDefault="00F761D7"/>
    <w:p w14:paraId="5654BE95" w14:textId="77777777" w:rsidR="00F761D7" w:rsidRDefault="00F761D7"/>
  </w:footnote>
  <w:footnote w:type="continuationSeparator" w:id="0">
    <w:p w14:paraId="4D2583DB" w14:textId="77777777" w:rsidR="00F761D7" w:rsidRDefault="00F761D7" w:rsidP="00CE604F">
      <w:r>
        <w:continuationSeparator/>
      </w:r>
    </w:p>
    <w:p w14:paraId="33404E76" w14:textId="77777777" w:rsidR="00F761D7" w:rsidRDefault="00F761D7" w:rsidP="00CE604F"/>
    <w:p w14:paraId="450EDFE8" w14:textId="77777777" w:rsidR="00F761D7" w:rsidRDefault="00F761D7" w:rsidP="00CE604F"/>
    <w:p w14:paraId="66B0955B" w14:textId="77777777" w:rsidR="00F761D7" w:rsidRDefault="00F761D7" w:rsidP="00CE604F"/>
    <w:p w14:paraId="1F5EA83D" w14:textId="77777777" w:rsidR="00F761D7" w:rsidRDefault="00F761D7"/>
    <w:p w14:paraId="0D690062" w14:textId="77777777" w:rsidR="00F761D7" w:rsidRDefault="00F76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8B9B" w14:textId="77777777" w:rsidR="0099324A" w:rsidRDefault="0099324A" w:rsidP="005F39EC">
    <w:pPr>
      <w:pStyle w:val="Header"/>
    </w:pPr>
    <w:r>
      <w:rPr>
        <w:noProof/>
      </w:rPr>
      <w:drawing>
        <wp:anchor distT="0" distB="0" distL="114300" distR="114300" simplePos="0" relativeHeight="251658239"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1445138349" name="Picture 144513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0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AA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C22"/>
    <w:multiLevelType w:val="hybridMultilevel"/>
    <w:tmpl w:val="6160303A"/>
    <w:lvl w:ilvl="0" w:tplc="99DE85DA">
      <w:numFmt w:val="bullet"/>
      <w:lvlText w:val="•"/>
      <w:lvlJc w:val="left"/>
      <w:pPr>
        <w:ind w:left="700" w:hanging="283"/>
      </w:pPr>
      <w:rPr>
        <w:rFonts w:ascii="Arial" w:eastAsia="Arial" w:hAnsi="Arial" w:cs="Arial" w:hint="default"/>
        <w:spacing w:val="-1"/>
        <w:w w:val="100"/>
        <w:sz w:val="19"/>
        <w:szCs w:val="19"/>
        <w:lang w:val="en-AU" w:eastAsia="en-AU" w:bidi="en-AU"/>
      </w:rPr>
    </w:lvl>
    <w:lvl w:ilvl="1" w:tplc="9C783BEA">
      <w:numFmt w:val="bullet"/>
      <w:lvlText w:val="•"/>
      <w:lvlJc w:val="left"/>
      <w:pPr>
        <w:ind w:left="1704" w:hanging="283"/>
      </w:pPr>
      <w:rPr>
        <w:rFonts w:hint="default"/>
        <w:lang w:val="en-AU" w:eastAsia="en-AU" w:bidi="en-AU"/>
      </w:rPr>
    </w:lvl>
    <w:lvl w:ilvl="2" w:tplc="13784958">
      <w:numFmt w:val="bullet"/>
      <w:lvlText w:val="•"/>
      <w:lvlJc w:val="left"/>
      <w:pPr>
        <w:ind w:left="2709" w:hanging="283"/>
      </w:pPr>
      <w:rPr>
        <w:rFonts w:hint="default"/>
        <w:lang w:val="en-AU" w:eastAsia="en-AU" w:bidi="en-AU"/>
      </w:rPr>
    </w:lvl>
    <w:lvl w:ilvl="3" w:tplc="1AFA2974">
      <w:numFmt w:val="bullet"/>
      <w:lvlText w:val="•"/>
      <w:lvlJc w:val="left"/>
      <w:pPr>
        <w:ind w:left="3714" w:hanging="283"/>
      </w:pPr>
      <w:rPr>
        <w:rFonts w:hint="default"/>
        <w:lang w:val="en-AU" w:eastAsia="en-AU" w:bidi="en-AU"/>
      </w:rPr>
    </w:lvl>
    <w:lvl w:ilvl="4" w:tplc="CF86DD4C">
      <w:numFmt w:val="bullet"/>
      <w:lvlText w:val="•"/>
      <w:lvlJc w:val="left"/>
      <w:pPr>
        <w:ind w:left="4718" w:hanging="283"/>
      </w:pPr>
      <w:rPr>
        <w:rFonts w:hint="default"/>
        <w:lang w:val="en-AU" w:eastAsia="en-AU" w:bidi="en-AU"/>
      </w:rPr>
    </w:lvl>
    <w:lvl w:ilvl="5" w:tplc="5832EBA4">
      <w:numFmt w:val="bullet"/>
      <w:lvlText w:val="•"/>
      <w:lvlJc w:val="left"/>
      <w:pPr>
        <w:ind w:left="5723" w:hanging="283"/>
      </w:pPr>
      <w:rPr>
        <w:rFonts w:hint="default"/>
        <w:lang w:val="en-AU" w:eastAsia="en-AU" w:bidi="en-AU"/>
      </w:rPr>
    </w:lvl>
    <w:lvl w:ilvl="6" w:tplc="A8C8802E">
      <w:numFmt w:val="bullet"/>
      <w:lvlText w:val="•"/>
      <w:lvlJc w:val="left"/>
      <w:pPr>
        <w:ind w:left="6728" w:hanging="283"/>
      </w:pPr>
      <w:rPr>
        <w:rFonts w:hint="default"/>
        <w:lang w:val="en-AU" w:eastAsia="en-AU" w:bidi="en-AU"/>
      </w:rPr>
    </w:lvl>
    <w:lvl w:ilvl="7" w:tplc="E30A7FE6">
      <w:numFmt w:val="bullet"/>
      <w:lvlText w:val="•"/>
      <w:lvlJc w:val="left"/>
      <w:pPr>
        <w:ind w:left="7732" w:hanging="283"/>
      </w:pPr>
      <w:rPr>
        <w:rFonts w:hint="default"/>
        <w:lang w:val="en-AU" w:eastAsia="en-AU" w:bidi="en-AU"/>
      </w:rPr>
    </w:lvl>
    <w:lvl w:ilvl="8" w:tplc="FA1A4A6C">
      <w:numFmt w:val="bullet"/>
      <w:lvlText w:val="•"/>
      <w:lvlJc w:val="left"/>
      <w:pPr>
        <w:ind w:left="8737" w:hanging="283"/>
      </w:pPr>
      <w:rPr>
        <w:rFonts w:hint="default"/>
        <w:lang w:val="en-AU" w:eastAsia="en-AU" w:bidi="en-AU"/>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15"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6" w15:restartNumberingAfterBreak="0">
    <w:nsid w:val="1886008C"/>
    <w:multiLevelType w:val="hybridMultilevel"/>
    <w:tmpl w:val="E376CB0E"/>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20"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8B73728"/>
    <w:multiLevelType w:val="hybridMultilevel"/>
    <w:tmpl w:val="407C3FB4"/>
    <w:lvl w:ilvl="0" w:tplc="42F63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DED0A8B"/>
    <w:multiLevelType w:val="multilevel"/>
    <w:tmpl w:val="88EC3B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106"/>
        </w:tabs>
        <w:ind w:left="1106" w:hanging="709"/>
      </w:pPr>
      <w:rPr>
        <w:rFonts w:hint="default"/>
      </w:rPr>
    </w:lvl>
    <w:lvl w:ilvl="2">
      <w:start w:val="1"/>
      <w:numFmt w:val="decimal"/>
      <w:lvlText w:val="%1.%2.%3"/>
      <w:lvlJc w:val="left"/>
      <w:pPr>
        <w:tabs>
          <w:tab w:val="num" w:pos="1871"/>
        </w:tabs>
        <w:ind w:left="1871" w:hanging="765"/>
      </w:pPr>
      <w:rPr>
        <w:rFonts w:hint="default"/>
      </w:rPr>
    </w:lvl>
    <w:lvl w:ilvl="3">
      <w:start w:val="1"/>
      <w:numFmt w:val="lowerLetter"/>
      <w:lvlText w:val="(%4)"/>
      <w:lvlJc w:val="left"/>
      <w:pPr>
        <w:tabs>
          <w:tab w:val="num" w:pos="2665"/>
        </w:tabs>
        <w:ind w:left="2665" w:hanging="397"/>
      </w:pPr>
      <w:rPr>
        <w:rFonts w:hint="default"/>
      </w:rPr>
    </w:lvl>
    <w:lvl w:ilvl="4">
      <w:start w:val="1"/>
      <w:numFmt w:val="lowerRoman"/>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5"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6" w15:restartNumberingAfterBreak="0">
    <w:nsid w:val="40C44F66"/>
    <w:multiLevelType w:val="hybridMultilevel"/>
    <w:tmpl w:val="8CA2B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7135602"/>
    <w:multiLevelType w:val="hybridMultilevel"/>
    <w:tmpl w:val="0D3287C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850"/>
        </w:tabs>
        <w:ind w:left="850"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6"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7"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8"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43471862">
    <w:abstractNumId w:val="22"/>
  </w:num>
  <w:num w:numId="2" w16cid:durableId="1194264800">
    <w:abstractNumId w:val="13"/>
  </w:num>
  <w:num w:numId="3" w16cid:durableId="90124649">
    <w:abstractNumId w:val="37"/>
  </w:num>
  <w:num w:numId="4" w16cid:durableId="2099594107">
    <w:abstractNumId w:val="23"/>
  </w:num>
  <w:num w:numId="5" w16cid:durableId="335380367">
    <w:abstractNumId w:val="11"/>
  </w:num>
  <w:num w:numId="6" w16cid:durableId="1712998125">
    <w:abstractNumId w:val="27"/>
  </w:num>
  <w:num w:numId="7" w16cid:durableId="1097601455">
    <w:abstractNumId w:val="3"/>
  </w:num>
  <w:num w:numId="8" w16cid:durableId="1932011024">
    <w:abstractNumId w:val="9"/>
  </w:num>
  <w:num w:numId="9" w16cid:durableId="678700049">
    <w:abstractNumId w:val="8"/>
  </w:num>
  <w:num w:numId="10" w16cid:durableId="887376937">
    <w:abstractNumId w:val="2"/>
  </w:num>
  <w:num w:numId="11" w16cid:durableId="2106881657">
    <w:abstractNumId w:val="15"/>
  </w:num>
  <w:num w:numId="12" w16cid:durableId="472716987">
    <w:abstractNumId w:val="25"/>
  </w:num>
  <w:num w:numId="13" w16cid:durableId="1923223534">
    <w:abstractNumId w:val="7"/>
  </w:num>
  <w:num w:numId="14" w16cid:durableId="230849160">
    <w:abstractNumId w:val="6"/>
  </w:num>
  <w:num w:numId="15" w16cid:durableId="2016378725">
    <w:abstractNumId w:val="9"/>
    <w:lvlOverride w:ilvl="0">
      <w:startOverride w:val="1"/>
    </w:lvlOverride>
  </w:num>
  <w:num w:numId="16" w16cid:durableId="1594703748">
    <w:abstractNumId w:val="25"/>
  </w:num>
  <w:num w:numId="17" w16cid:durableId="1684163008">
    <w:abstractNumId w:val="25"/>
  </w:num>
  <w:num w:numId="18" w16cid:durableId="862597917">
    <w:abstractNumId w:val="25"/>
  </w:num>
  <w:num w:numId="19" w16cid:durableId="1341081366">
    <w:abstractNumId w:val="15"/>
  </w:num>
  <w:num w:numId="20" w16cid:durableId="704330393">
    <w:abstractNumId w:val="15"/>
  </w:num>
  <w:num w:numId="21" w16cid:durableId="41445481">
    <w:abstractNumId w:val="15"/>
  </w:num>
  <w:num w:numId="22" w16cid:durableId="1566794248">
    <w:abstractNumId w:val="5"/>
  </w:num>
  <w:num w:numId="23" w16cid:durableId="350422821">
    <w:abstractNumId w:val="4"/>
  </w:num>
  <w:num w:numId="24" w16cid:durableId="1324702864">
    <w:abstractNumId w:val="1"/>
  </w:num>
  <w:num w:numId="25" w16cid:durableId="503319974">
    <w:abstractNumId w:val="0"/>
  </w:num>
  <w:num w:numId="26" w16cid:durableId="2081634836">
    <w:abstractNumId w:val="32"/>
  </w:num>
  <w:num w:numId="27" w16cid:durableId="539587932">
    <w:abstractNumId w:val="19"/>
  </w:num>
  <w:num w:numId="28" w16cid:durableId="184445213">
    <w:abstractNumId w:val="28"/>
  </w:num>
  <w:num w:numId="29" w16cid:durableId="765658809">
    <w:abstractNumId w:val="29"/>
  </w:num>
  <w:num w:numId="30" w16cid:durableId="717243549">
    <w:abstractNumId w:val="35"/>
  </w:num>
  <w:num w:numId="31" w16cid:durableId="503740928">
    <w:abstractNumId w:val="21"/>
  </w:num>
  <w:num w:numId="32" w16cid:durableId="2046173791">
    <w:abstractNumId w:val="24"/>
  </w:num>
  <w:num w:numId="33" w16cid:durableId="43874538">
    <w:abstractNumId w:val="38"/>
  </w:num>
  <w:num w:numId="34" w16cid:durableId="683552663">
    <w:abstractNumId w:val="14"/>
  </w:num>
  <w:num w:numId="35" w16cid:durableId="1403680880">
    <w:abstractNumId w:val="33"/>
  </w:num>
  <w:num w:numId="36" w16cid:durableId="233857383">
    <w:abstractNumId w:val="36"/>
  </w:num>
  <w:num w:numId="37" w16cid:durableId="89589655">
    <w:abstractNumId w:val="34"/>
  </w:num>
  <w:num w:numId="38" w16cid:durableId="645553341">
    <w:abstractNumId w:val="31"/>
  </w:num>
  <w:num w:numId="39" w16cid:durableId="534735671">
    <w:abstractNumId w:val="17"/>
  </w:num>
  <w:num w:numId="40" w16cid:durableId="578102562">
    <w:abstractNumId w:val="20"/>
  </w:num>
  <w:num w:numId="41" w16cid:durableId="9141224">
    <w:abstractNumId w:val="16"/>
  </w:num>
  <w:num w:numId="42" w16cid:durableId="1763531393">
    <w:abstractNumId w:val="12"/>
  </w:num>
  <w:num w:numId="43" w16cid:durableId="1763720199">
    <w:abstractNumId w:val="18"/>
  </w:num>
  <w:num w:numId="44" w16cid:durableId="1815677105">
    <w:abstractNumId w:val="10"/>
  </w:num>
  <w:num w:numId="45" w16cid:durableId="1597589592">
    <w:abstractNumId w:val="30"/>
  </w:num>
  <w:num w:numId="46" w16cid:durableId="38746012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D6F"/>
    <w:rsid w:val="000048A1"/>
    <w:rsid w:val="0000578C"/>
    <w:rsid w:val="00006AEB"/>
    <w:rsid w:val="00010362"/>
    <w:rsid w:val="00012493"/>
    <w:rsid w:val="0001309C"/>
    <w:rsid w:val="00015395"/>
    <w:rsid w:val="00015489"/>
    <w:rsid w:val="00021629"/>
    <w:rsid w:val="00023722"/>
    <w:rsid w:val="0002588E"/>
    <w:rsid w:val="000273D2"/>
    <w:rsid w:val="0002770F"/>
    <w:rsid w:val="00030518"/>
    <w:rsid w:val="00030BBF"/>
    <w:rsid w:val="00033931"/>
    <w:rsid w:val="000340A9"/>
    <w:rsid w:val="0003417A"/>
    <w:rsid w:val="00034A7D"/>
    <w:rsid w:val="00035765"/>
    <w:rsid w:val="00035E23"/>
    <w:rsid w:val="00041675"/>
    <w:rsid w:val="00045E1B"/>
    <w:rsid w:val="00051849"/>
    <w:rsid w:val="00056673"/>
    <w:rsid w:val="00060D40"/>
    <w:rsid w:val="0006184F"/>
    <w:rsid w:val="000645EC"/>
    <w:rsid w:val="00072C00"/>
    <w:rsid w:val="00073220"/>
    <w:rsid w:val="00073846"/>
    <w:rsid w:val="00075801"/>
    <w:rsid w:val="000767E6"/>
    <w:rsid w:val="0008298C"/>
    <w:rsid w:val="000830C8"/>
    <w:rsid w:val="0008412B"/>
    <w:rsid w:val="000846FE"/>
    <w:rsid w:val="00085FD3"/>
    <w:rsid w:val="000873E7"/>
    <w:rsid w:val="0009559C"/>
    <w:rsid w:val="00095E19"/>
    <w:rsid w:val="000A0633"/>
    <w:rsid w:val="000A2767"/>
    <w:rsid w:val="000A3DB3"/>
    <w:rsid w:val="000A4BF6"/>
    <w:rsid w:val="000A73E8"/>
    <w:rsid w:val="000B010E"/>
    <w:rsid w:val="000B5098"/>
    <w:rsid w:val="000B5463"/>
    <w:rsid w:val="000C0431"/>
    <w:rsid w:val="000C2502"/>
    <w:rsid w:val="000C73FC"/>
    <w:rsid w:val="000C7931"/>
    <w:rsid w:val="000C7DD4"/>
    <w:rsid w:val="000D1087"/>
    <w:rsid w:val="000D6A7D"/>
    <w:rsid w:val="000D6D8E"/>
    <w:rsid w:val="000D6EA5"/>
    <w:rsid w:val="000E22A7"/>
    <w:rsid w:val="000E330C"/>
    <w:rsid w:val="000E46A7"/>
    <w:rsid w:val="000E5E00"/>
    <w:rsid w:val="000F52FE"/>
    <w:rsid w:val="000F71C6"/>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550A"/>
    <w:rsid w:val="00126586"/>
    <w:rsid w:val="0013319E"/>
    <w:rsid w:val="001357B8"/>
    <w:rsid w:val="001359F2"/>
    <w:rsid w:val="001361F1"/>
    <w:rsid w:val="0013729F"/>
    <w:rsid w:val="00140207"/>
    <w:rsid w:val="00146E27"/>
    <w:rsid w:val="0015135C"/>
    <w:rsid w:val="00152D85"/>
    <w:rsid w:val="00153248"/>
    <w:rsid w:val="001546E5"/>
    <w:rsid w:val="0015593C"/>
    <w:rsid w:val="001561CB"/>
    <w:rsid w:val="001626E3"/>
    <w:rsid w:val="00162A63"/>
    <w:rsid w:val="0016404D"/>
    <w:rsid w:val="0016753C"/>
    <w:rsid w:val="00170476"/>
    <w:rsid w:val="00171B11"/>
    <w:rsid w:val="001739ED"/>
    <w:rsid w:val="00182C79"/>
    <w:rsid w:val="00185BA6"/>
    <w:rsid w:val="001864B5"/>
    <w:rsid w:val="00187E3B"/>
    <w:rsid w:val="00191177"/>
    <w:rsid w:val="001924B3"/>
    <w:rsid w:val="0019445B"/>
    <w:rsid w:val="001946CF"/>
    <w:rsid w:val="00194A12"/>
    <w:rsid w:val="00195815"/>
    <w:rsid w:val="00196728"/>
    <w:rsid w:val="001976D9"/>
    <w:rsid w:val="001A028F"/>
    <w:rsid w:val="001A1110"/>
    <w:rsid w:val="001A3E10"/>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062"/>
    <w:rsid w:val="0023426F"/>
    <w:rsid w:val="002345A8"/>
    <w:rsid w:val="00236CCB"/>
    <w:rsid w:val="00240500"/>
    <w:rsid w:val="002417C3"/>
    <w:rsid w:val="002435F7"/>
    <w:rsid w:val="00244480"/>
    <w:rsid w:val="00250970"/>
    <w:rsid w:val="00250A74"/>
    <w:rsid w:val="00250D31"/>
    <w:rsid w:val="00260B9B"/>
    <w:rsid w:val="0026711E"/>
    <w:rsid w:val="00271541"/>
    <w:rsid w:val="0027230C"/>
    <w:rsid w:val="00275B0E"/>
    <w:rsid w:val="0027603E"/>
    <w:rsid w:val="00283B16"/>
    <w:rsid w:val="00284A44"/>
    <w:rsid w:val="00285620"/>
    <w:rsid w:val="002862A5"/>
    <w:rsid w:val="0028697C"/>
    <w:rsid w:val="00286A8F"/>
    <w:rsid w:val="002900A6"/>
    <w:rsid w:val="002914EA"/>
    <w:rsid w:val="002922E2"/>
    <w:rsid w:val="00292D82"/>
    <w:rsid w:val="00293590"/>
    <w:rsid w:val="00294100"/>
    <w:rsid w:val="002A29EE"/>
    <w:rsid w:val="002A396F"/>
    <w:rsid w:val="002A3F54"/>
    <w:rsid w:val="002A5BE4"/>
    <w:rsid w:val="002A7D53"/>
    <w:rsid w:val="002B0840"/>
    <w:rsid w:val="002B3442"/>
    <w:rsid w:val="002B555F"/>
    <w:rsid w:val="002C04BF"/>
    <w:rsid w:val="002C3360"/>
    <w:rsid w:val="002C3604"/>
    <w:rsid w:val="002C3D86"/>
    <w:rsid w:val="002C720A"/>
    <w:rsid w:val="002D1540"/>
    <w:rsid w:val="002D1C35"/>
    <w:rsid w:val="002D2753"/>
    <w:rsid w:val="002D627C"/>
    <w:rsid w:val="002E0EFD"/>
    <w:rsid w:val="002E1732"/>
    <w:rsid w:val="002E2D7B"/>
    <w:rsid w:val="002E3644"/>
    <w:rsid w:val="002E4548"/>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57C3"/>
    <w:rsid w:val="003371A2"/>
    <w:rsid w:val="00343F6C"/>
    <w:rsid w:val="00347A04"/>
    <w:rsid w:val="003525BB"/>
    <w:rsid w:val="0035358D"/>
    <w:rsid w:val="003563BF"/>
    <w:rsid w:val="00357C64"/>
    <w:rsid w:val="00361EB0"/>
    <w:rsid w:val="003620AB"/>
    <w:rsid w:val="00363D19"/>
    <w:rsid w:val="00366F31"/>
    <w:rsid w:val="0037157C"/>
    <w:rsid w:val="00381818"/>
    <w:rsid w:val="003858AD"/>
    <w:rsid w:val="00386225"/>
    <w:rsid w:val="00390E88"/>
    <w:rsid w:val="003920F3"/>
    <w:rsid w:val="003937FC"/>
    <w:rsid w:val="00395614"/>
    <w:rsid w:val="00395B75"/>
    <w:rsid w:val="00396E6D"/>
    <w:rsid w:val="003A1B2A"/>
    <w:rsid w:val="003A1C7A"/>
    <w:rsid w:val="003A1DE6"/>
    <w:rsid w:val="003A2B8D"/>
    <w:rsid w:val="003A2FC3"/>
    <w:rsid w:val="003A75BE"/>
    <w:rsid w:val="003B2C8C"/>
    <w:rsid w:val="003B403F"/>
    <w:rsid w:val="003B4E4B"/>
    <w:rsid w:val="003C5A9B"/>
    <w:rsid w:val="003C6348"/>
    <w:rsid w:val="003C6376"/>
    <w:rsid w:val="003D00CA"/>
    <w:rsid w:val="003D0C4B"/>
    <w:rsid w:val="003D282E"/>
    <w:rsid w:val="003D46FB"/>
    <w:rsid w:val="003D48DA"/>
    <w:rsid w:val="003D5A28"/>
    <w:rsid w:val="003D720C"/>
    <w:rsid w:val="003E4573"/>
    <w:rsid w:val="003F017A"/>
    <w:rsid w:val="003F3636"/>
    <w:rsid w:val="004004EE"/>
    <w:rsid w:val="00400ACA"/>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0A74"/>
    <w:rsid w:val="00444914"/>
    <w:rsid w:val="00444C5F"/>
    <w:rsid w:val="004470FA"/>
    <w:rsid w:val="00447B04"/>
    <w:rsid w:val="00452D29"/>
    <w:rsid w:val="00453CF3"/>
    <w:rsid w:val="00456338"/>
    <w:rsid w:val="004568F3"/>
    <w:rsid w:val="00460F6D"/>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4AE1"/>
    <w:rsid w:val="004A4FF5"/>
    <w:rsid w:val="004A554E"/>
    <w:rsid w:val="004A7082"/>
    <w:rsid w:val="004B3C31"/>
    <w:rsid w:val="004B497A"/>
    <w:rsid w:val="004B545B"/>
    <w:rsid w:val="004B6B3F"/>
    <w:rsid w:val="004B6F96"/>
    <w:rsid w:val="004C130A"/>
    <w:rsid w:val="004C305A"/>
    <w:rsid w:val="004C34A2"/>
    <w:rsid w:val="004C525D"/>
    <w:rsid w:val="004C5421"/>
    <w:rsid w:val="004D13DC"/>
    <w:rsid w:val="004D2DEE"/>
    <w:rsid w:val="004D392B"/>
    <w:rsid w:val="004D51B9"/>
    <w:rsid w:val="004D6009"/>
    <w:rsid w:val="004E010B"/>
    <w:rsid w:val="004E0476"/>
    <w:rsid w:val="004E0DF1"/>
    <w:rsid w:val="004E18CA"/>
    <w:rsid w:val="004E1E84"/>
    <w:rsid w:val="004E3189"/>
    <w:rsid w:val="004E4D30"/>
    <w:rsid w:val="004E57CE"/>
    <w:rsid w:val="004E67BC"/>
    <w:rsid w:val="004E735A"/>
    <w:rsid w:val="004F46FF"/>
    <w:rsid w:val="004F52AC"/>
    <w:rsid w:val="004F6746"/>
    <w:rsid w:val="00505C45"/>
    <w:rsid w:val="005129D9"/>
    <w:rsid w:val="00512BC7"/>
    <w:rsid w:val="0051345A"/>
    <w:rsid w:val="0051433E"/>
    <w:rsid w:val="00516666"/>
    <w:rsid w:val="0052080A"/>
    <w:rsid w:val="00521EEA"/>
    <w:rsid w:val="005223B0"/>
    <w:rsid w:val="00523A60"/>
    <w:rsid w:val="00523DC0"/>
    <w:rsid w:val="00531BEE"/>
    <w:rsid w:val="00533CE6"/>
    <w:rsid w:val="005353AA"/>
    <w:rsid w:val="00552ED1"/>
    <w:rsid w:val="00555916"/>
    <w:rsid w:val="005562F1"/>
    <w:rsid w:val="005567C3"/>
    <w:rsid w:val="00556887"/>
    <w:rsid w:val="00557B84"/>
    <w:rsid w:val="00561C65"/>
    <w:rsid w:val="00563121"/>
    <w:rsid w:val="00585605"/>
    <w:rsid w:val="005875AE"/>
    <w:rsid w:val="005878A7"/>
    <w:rsid w:val="00587E91"/>
    <w:rsid w:val="00590077"/>
    <w:rsid w:val="00592765"/>
    <w:rsid w:val="00593B93"/>
    <w:rsid w:val="00593EDF"/>
    <w:rsid w:val="00595475"/>
    <w:rsid w:val="00595895"/>
    <w:rsid w:val="005A3647"/>
    <w:rsid w:val="005A3B5E"/>
    <w:rsid w:val="005A7112"/>
    <w:rsid w:val="005B374E"/>
    <w:rsid w:val="005B4482"/>
    <w:rsid w:val="005B7F2F"/>
    <w:rsid w:val="005C095D"/>
    <w:rsid w:val="005C11CA"/>
    <w:rsid w:val="005C1B0A"/>
    <w:rsid w:val="005C367C"/>
    <w:rsid w:val="005C428F"/>
    <w:rsid w:val="005C632E"/>
    <w:rsid w:val="005D0FD6"/>
    <w:rsid w:val="005D35B0"/>
    <w:rsid w:val="005D47B0"/>
    <w:rsid w:val="005D4B4A"/>
    <w:rsid w:val="005D6E29"/>
    <w:rsid w:val="005E4D31"/>
    <w:rsid w:val="005E5955"/>
    <w:rsid w:val="005E6493"/>
    <w:rsid w:val="005E7050"/>
    <w:rsid w:val="005F2858"/>
    <w:rsid w:val="005F39EC"/>
    <w:rsid w:val="005F54AA"/>
    <w:rsid w:val="005F5864"/>
    <w:rsid w:val="0060124F"/>
    <w:rsid w:val="00607FD8"/>
    <w:rsid w:val="00610552"/>
    <w:rsid w:val="0061505F"/>
    <w:rsid w:val="00617178"/>
    <w:rsid w:val="0061751B"/>
    <w:rsid w:val="0062297D"/>
    <w:rsid w:val="006251CD"/>
    <w:rsid w:val="00627E9D"/>
    <w:rsid w:val="00631298"/>
    <w:rsid w:val="00632564"/>
    <w:rsid w:val="006338FE"/>
    <w:rsid w:val="00634604"/>
    <w:rsid w:val="00637666"/>
    <w:rsid w:val="00642CEE"/>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36FE"/>
    <w:rsid w:val="00696B6C"/>
    <w:rsid w:val="006A0287"/>
    <w:rsid w:val="006A19B3"/>
    <w:rsid w:val="006A1C58"/>
    <w:rsid w:val="006A2BF7"/>
    <w:rsid w:val="006B5921"/>
    <w:rsid w:val="006B5B56"/>
    <w:rsid w:val="006B7796"/>
    <w:rsid w:val="006C059A"/>
    <w:rsid w:val="006C21F2"/>
    <w:rsid w:val="006C596B"/>
    <w:rsid w:val="006D39B9"/>
    <w:rsid w:val="006D4FC7"/>
    <w:rsid w:val="006D676F"/>
    <w:rsid w:val="006D7AA1"/>
    <w:rsid w:val="006E58AA"/>
    <w:rsid w:val="006E6E31"/>
    <w:rsid w:val="006E78F9"/>
    <w:rsid w:val="006F0469"/>
    <w:rsid w:val="006F1B90"/>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41F5"/>
    <w:rsid w:val="00765869"/>
    <w:rsid w:val="00765E2C"/>
    <w:rsid w:val="00766030"/>
    <w:rsid w:val="00770E61"/>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5638"/>
    <w:rsid w:val="007F7A1E"/>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4CEA"/>
    <w:rsid w:val="00860935"/>
    <w:rsid w:val="008616F3"/>
    <w:rsid w:val="00862661"/>
    <w:rsid w:val="00864767"/>
    <w:rsid w:val="00872F39"/>
    <w:rsid w:val="0087344F"/>
    <w:rsid w:val="008832AA"/>
    <w:rsid w:val="0088710E"/>
    <w:rsid w:val="00887DDC"/>
    <w:rsid w:val="00892291"/>
    <w:rsid w:val="00894262"/>
    <w:rsid w:val="0089435E"/>
    <w:rsid w:val="008A21C4"/>
    <w:rsid w:val="008A5D1E"/>
    <w:rsid w:val="008B0D92"/>
    <w:rsid w:val="008B12C3"/>
    <w:rsid w:val="008B1448"/>
    <w:rsid w:val="008B22D2"/>
    <w:rsid w:val="008B2A9A"/>
    <w:rsid w:val="008B68BB"/>
    <w:rsid w:val="008D000C"/>
    <w:rsid w:val="008D2C40"/>
    <w:rsid w:val="008D2ED7"/>
    <w:rsid w:val="008D5F8A"/>
    <w:rsid w:val="008E13E8"/>
    <w:rsid w:val="008E31E1"/>
    <w:rsid w:val="008E359D"/>
    <w:rsid w:val="008E3D15"/>
    <w:rsid w:val="008E552A"/>
    <w:rsid w:val="008E735C"/>
    <w:rsid w:val="008F22A4"/>
    <w:rsid w:val="008F3B94"/>
    <w:rsid w:val="008F5002"/>
    <w:rsid w:val="008F52F5"/>
    <w:rsid w:val="008F6661"/>
    <w:rsid w:val="00903687"/>
    <w:rsid w:val="0090467C"/>
    <w:rsid w:val="00910D31"/>
    <w:rsid w:val="009115AB"/>
    <w:rsid w:val="00912336"/>
    <w:rsid w:val="009172F6"/>
    <w:rsid w:val="00921B03"/>
    <w:rsid w:val="009224AA"/>
    <w:rsid w:val="00922F59"/>
    <w:rsid w:val="00930031"/>
    <w:rsid w:val="00930869"/>
    <w:rsid w:val="0093235E"/>
    <w:rsid w:val="00937335"/>
    <w:rsid w:val="00937703"/>
    <w:rsid w:val="0093771A"/>
    <w:rsid w:val="00941651"/>
    <w:rsid w:val="00944E6B"/>
    <w:rsid w:val="0094605E"/>
    <w:rsid w:val="00953ABE"/>
    <w:rsid w:val="00954C94"/>
    <w:rsid w:val="0095601F"/>
    <w:rsid w:val="00960B6A"/>
    <w:rsid w:val="00961A30"/>
    <w:rsid w:val="00963ABA"/>
    <w:rsid w:val="00966895"/>
    <w:rsid w:val="00966C88"/>
    <w:rsid w:val="00970733"/>
    <w:rsid w:val="00971677"/>
    <w:rsid w:val="00972889"/>
    <w:rsid w:val="009740EF"/>
    <w:rsid w:val="00981378"/>
    <w:rsid w:val="0098289D"/>
    <w:rsid w:val="0098415F"/>
    <w:rsid w:val="00984A8A"/>
    <w:rsid w:val="00985876"/>
    <w:rsid w:val="00986C85"/>
    <w:rsid w:val="0099324A"/>
    <w:rsid w:val="00994CB7"/>
    <w:rsid w:val="00995A1B"/>
    <w:rsid w:val="009976E0"/>
    <w:rsid w:val="009A2615"/>
    <w:rsid w:val="009A2FBA"/>
    <w:rsid w:val="009A38C0"/>
    <w:rsid w:val="009B3D07"/>
    <w:rsid w:val="009B5D92"/>
    <w:rsid w:val="009C5C32"/>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6E1D"/>
    <w:rsid w:val="00A12C87"/>
    <w:rsid w:val="00A15A05"/>
    <w:rsid w:val="00A15D80"/>
    <w:rsid w:val="00A15EF9"/>
    <w:rsid w:val="00A17099"/>
    <w:rsid w:val="00A21F56"/>
    <w:rsid w:val="00A24C55"/>
    <w:rsid w:val="00A26D88"/>
    <w:rsid w:val="00A27EBF"/>
    <w:rsid w:val="00A33B33"/>
    <w:rsid w:val="00A377BC"/>
    <w:rsid w:val="00A37C70"/>
    <w:rsid w:val="00A4077E"/>
    <w:rsid w:val="00A41F86"/>
    <w:rsid w:val="00A4340C"/>
    <w:rsid w:val="00A44855"/>
    <w:rsid w:val="00A4635C"/>
    <w:rsid w:val="00A4776F"/>
    <w:rsid w:val="00A529E9"/>
    <w:rsid w:val="00A54310"/>
    <w:rsid w:val="00A61E23"/>
    <w:rsid w:val="00A64D4A"/>
    <w:rsid w:val="00A6632F"/>
    <w:rsid w:val="00A75C29"/>
    <w:rsid w:val="00A76D1D"/>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386C"/>
    <w:rsid w:val="00AF72F6"/>
    <w:rsid w:val="00B03C9D"/>
    <w:rsid w:val="00B04F66"/>
    <w:rsid w:val="00B118A3"/>
    <w:rsid w:val="00B11B01"/>
    <w:rsid w:val="00B14589"/>
    <w:rsid w:val="00B15409"/>
    <w:rsid w:val="00B174AE"/>
    <w:rsid w:val="00B17BF1"/>
    <w:rsid w:val="00B21E43"/>
    <w:rsid w:val="00B21E88"/>
    <w:rsid w:val="00B21F67"/>
    <w:rsid w:val="00B21F6A"/>
    <w:rsid w:val="00B22700"/>
    <w:rsid w:val="00B2654D"/>
    <w:rsid w:val="00B3071F"/>
    <w:rsid w:val="00B32E22"/>
    <w:rsid w:val="00B33137"/>
    <w:rsid w:val="00B45070"/>
    <w:rsid w:val="00B47952"/>
    <w:rsid w:val="00B50EB7"/>
    <w:rsid w:val="00B5359B"/>
    <w:rsid w:val="00B55C9F"/>
    <w:rsid w:val="00B55F08"/>
    <w:rsid w:val="00B57503"/>
    <w:rsid w:val="00B60586"/>
    <w:rsid w:val="00B60F65"/>
    <w:rsid w:val="00B65957"/>
    <w:rsid w:val="00B66CDE"/>
    <w:rsid w:val="00B67069"/>
    <w:rsid w:val="00B670B4"/>
    <w:rsid w:val="00B67D19"/>
    <w:rsid w:val="00B71B67"/>
    <w:rsid w:val="00B71B70"/>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0A6D"/>
    <w:rsid w:val="00BC31F6"/>
    <w:rsid w:val="00BC5652"/>
    <w:rsid w:val="00BD2821"/>
    <w:rsid w:val="00BD75ED"/>
    <w:rsid w:val="00BE1CD2"/>
    <w:rsid w:val="00BF3A65"/>
    <w:rsid w:val="00BF3F49"/>
    <w:rsid w:val="00C048BA"/>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8AF"/>
    <w:rsid w:val="00C303C2"/>
    <w:rsid w:val="00C309F6"/>
    <w:rsid w:val="00C329CF"/>
    <w:rsid w:val="00C32F42"/>
    <w:rsid w:val="00C34ACD"/>
    <w:rsid w:val="00C34DD9"/>
    <w:rsid w:val="00C424D2"/>
    <w:rsid w:val="00C425B7"/>
    <w:rsid w:val="00C46957"/>
    <w:rsid w:val="00C5027F"/>
    <w:rsid w:val="00C513DF"/>
    <w:rsid w:val="00C559D8"/>
    <w:rsid w:val="00C574AE"/>
    <w:rsid w:val="00C609EC"/>
    <w:rsid w:val="00C61D51"/>
    <w:rsid w:val="00C6312A"/>
    <w:rsid w:val="00C6586E"/>
    <w:rsid w:val="00C65B68"/>
    <w:rsid w:val="00C65F7E"/>
    <w:rsid w:val="00C66D8D"/>
    <w:rsid w:val="00C66FA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534"/>
    <w:rsid w:val="00D04820"/>
    <w:rsid w:val="00D06AD4"/>
    <w:rsid w:val="00D10B3F"/>
    <w:rsid w:val="00D16576"/>
    <w:rsid w:val="00D1705C"/>
    <w:rsid w:val="00D17B78"/>
    <w:rsid w:val="00D20815"/>
    <w:rsid w:val="00D23524"/>
    <w:rsid w:val="00D24945"/>
    <w:rsid w:val="00D26389"/>
    <w:rsid w:val="00D26860"/>
    <w:rsid w:val="00D2719A"/>
    <w:rsid w:val="00D30873"/>
    <w:rsid w:val="00D3557F"/>
    <w:rsid w:val="00D37654"/>
    <w:rsid w:val="00D42E0F"/>
    <w:rsid w:val="00D42FA1"/>
    <w:rsid w:val="00D44FD6"/>
    <w:rsid w:val="00D46BB0"/>
    <w:rsid w:val="00D51C03"/>
    <w:rsid w:val="00D52465"/>
    <w:rsid w:val="00D56604"/>
    <w:rsid w:val="00D57D8B"/>
    <w:rsid w:val="00D64540"/>
    <w:rsid w:val="00D6642E"/>
    <w:rsid w:val="00D72DB9"/>
    <w:rsid w:val="00D7569B"/>
    <w:rsid w:val="00D766AE"/>
    <w:rsid w:val="00D76B79"/>
    <w:rsid w:val="00D87C51"/>
    <w:rsid w:val="00D90123"/>
    <w:rsid w:val="00D90273"/>
    <w:rsid w:val="00D90BB6"/>
    <w:rsid w:val="00D914F2"/>
    <w:rsid w:val="00D918DE"/>
    <w:rsid w:val="00D91CAC"/>
    <w:rsid w:val="00D9361E"/>
    <w:rsid w:val="00D93B10"/>
    <w:rsid w:val="00D94981"/>
    <w:rsid w:val="00D95099"/>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6AD0"/>
    <w:rsid w:val="00E209E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A1085"/>
    <w:rsid w:val="00EA2128"/>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E7851"/>
    <w:rsid w:val="00EF2038"/>
    <w:rsid w:val="00EF226C"/>
    <w:rsid w:val="00EF31D4"/>
    <w:rsid w:val="00EF6258"/>
    <w:rsid w:val="00EF6E8B"/>
    <w:rsid w:val="00EF7C07"/>
    <w:rsid w:val="00F00EC0"/>
    <w:rsid w:val="00F023C8"/>
    <w:rsid w:val="00F04026"/>
    <w:rsid w:val="00F04DED"/>
    <w:rsid w:val="00F05387"/>
    <w:rsid w:val="00F075FC"/>
    <w:rsid w:val="00F14500"/>
    <w:rsid w:val="00F20E6E"/>
    <w:rsid w:val="00F21594"/>
    <w:rsid w:val="00F219C5"/>
    <w:rsid w:val="00F22562"/>
    <w:rsid w:val="00F232F4"/>
    <w:rsid w:val="00F25204"/>
    <w:rsid w:val="00F265E3"/>
    <w:rsid w:val="00F30496"/>
    <w:rsid w:val="00F32305"/>
    <w:rsid w:val="00F33B65"/>
    <w:rsid w:val="00F344F5"/>
    <w:rsid w:val="00F375CF"/>
    <w:rsid w:val="00F37CC4"/>
    <w:rsid w:val="00F41D06"/>
    <w:rsid w:val="00F47295"/>
    <w:rsid w:val="00F503F3"/>
    <w:rsid w:val="00F51B2F"/>
    <w:rsid w:val="00F538E1"/>
    <w:rsid w:val="00F53D12"/>
    <w:rsid w:val="00F53EC4"/>
    <w:rsid w:val="00F60A8F"/>
    <w:rsid w:val="00F60DB9"/>
    <w:rsid w:val="00F60F4E"/>
    <w:rsid w:val="00F60F56"/>
    <w:rsid w:val="00F64FF9"/>
    <w:rsid w:val="00F6554E"/>
    <w:rsid w:val="00F65C1E"/>
    <w:rsid w:val="00F65F0D"/>
    <w:rsid w:val="00F67DD9"/>
    <w:rsid w:val="00F70426"/>
    <w:rsid w:val="00F71860"/>
    <w:rsid w:val="00F731A4"/>
    <w:rsid w:val="00F73718"/>
    <w:rsid w:val="00F74686"/>
    <w:rsid w:val="00F74B5C"/>
    <w:rsid w:val="00F757B1"/>
    <w:rsid w:val="00F761D7"/>
    <w:rsid w:val="00F774AC"/>
    <w:rsid w:val="00F80344"/>
    <w:rsid w:val="00F8171D"/>
    <w:rsid w:val="00F85E5B"/>
    <w:rsid w:val="00F9166C"/>
    <w:rsid w:val="00F919B7"/>
    <w:rsid w:val="00F926CF"/>
    <w:rsid w:val="00F926E9"/>
    <w:rsid w:val="00F934DD"/>
    <w:rsid w:val="00F938C2"/>
    <w:rsid w:val="00F93C8D"/>
    <w:rsid w:val="00F942E8"/>
    <w:rsid w:val="00F947F4"/>
    <w:rsid w:val="00F9600D"/>
    <w:rsid w:val="00F96D62"/>
    <w:rsid w:val="00FA0C5D"/>
    <w:rsid w:val="00FA2335"/>
    <w:rsid w:val="00FA3EEC"/>
    <w:rsid w:val="00FA77C1"/>
    <w:rsid w:val="00FB175A"/>
    <w:rsid w:val="00FB3233"/>
    <w:rsid w:val="00FB5158"/>
    <w:rsid w:val="00FB61A9"/>
    <w:rsid w:val="00FC0043"/>
    <w:rsid w:val="00FC4BBB"/>
    <w:rsid w:val="00FC6B22"/>
    <w:rsid w:val="00FD0A16"/>
    <w:rsid w:val="00FD1ED4"/>
    <w:rsid w:val="00FD2407"/>
    <w:rsid w:val="00FD306A"/>
    <w:rsid w:val="00FD36D9"/>
    <w:rsid w:val="00FD4320"/>
    <w:rsid w:val="00FD57F5"/>
    <w:rsid w:val="00FD78D3"/>
    <w:rsid w:val="00FD7DC7"/>
    <w:rsid w:val="00FD7E58"/>
    <w:rsid w:val="00FE0A31"/>
    <w:rsid w:val="00FE0DB5"/>
    <w:rsid w:val="00FE1E37"/>
    <w:rsid w:val="00FE23E1"/>
    <w:rsid w:val="00FE3EEB"/>
    <w:rsid w:val="00FE446D"/>
    <w:rsid w:val="00FE48F9"/>
    <w:rsid w:val="00FE621C"/>
    <w:rsid w:val="00FE62CE"/>
    <w:rsid w:val="00FE697B"/>
    <w:rsid w:val="00FF1DB0"/>
    <w:rsid w:val="00FF23FF"/>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AC2FF04B-F5DF-4547-8C48-4434E0A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30"/>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0"/>
      </w:numPr>
      <w:spacing w:after="200"/>
      <w:outlineLvl w:val="1"/>
    </w:pPr>
  </w:style>
  <w:style w:type="paragraph" w:styleId="Heading3">
    <w:name w:val="heading 3"/>
    <w:basedOn w:val="Normal"/>
    <w:qFormat/>
    <w:rsid w:val="00715A92"/>
    <w:pPr>
      <w:numPr>
        <w:ilvl w:val="2"/>
        <w:numId w:val="30"/>
      </w:numPr>
      <w:spacing w:after="200"/>
      <w:outlineLvl w:val="2"/>
    </w:pPr>
  </w:style>
  <w:style w:type="paragraph" w:styleId="Heading4">
    <w:name w:val="heading 4"/>
    <w:basedOn w:val="Normal"/>
    <w:qFormat/>
    <w:rsid w:val="00DC602F"/>
    <w:pPr>
      <w:numPr>
        <w:ilvl w:val="3"/>
        <w:numId w:val="30"/>
      </w:numPr>
      <w:spacing w:after="200"/>
      <w:outlineLvl w:val="3"/>
    </w:pPr>
  </w:style>
  <w:style w:type="paragraph" w:styleId="Heading5">
    <w:name w:val="heading 5"/>
    <w:basedOn w:val="Normal"/>
    <w:qFormat/>
    <w:rsid w:val="0095601F"/>
    <w:pPr>
      <w:numPr>
        <w:ilvl w:val="4"/>
        <w:numId w:val="30"/>
      </w:numPr>
      <w:spacing w:after="200"/>
      <w:outlineLvl w:val="4"/>
    </w:pPr>
  </w:style>
  <w:style w:type="paragraph" w:styleId="Heading6">
    <w:name w:val="heading 6"/>
    <w:basedOn w:val="Normal"/>
    <w:next w:val="Normal"/>
    <w:qFormat/>
    <w:rsid w:val="0095601F"/>
    <w:pPr>
      <w:numPr>
        <w:ilvl w:val="5"/>
        <w:numId w:val="30"/>
      </w:numPr>
      <w:spacing w:after="200"/>
      <w:outlineLvl w:val="5"/>
    </w:pPr>
  </w:style>
  <w:style w:type="paragraph" w:styleId="Heading7">
    <w:name w:val="heading 7"/>
    <w:basedOn w:val="Normal"/>
    <w:next w:val="Normal"/>
    <w:rsid w:val="00FA2335"/>
    <w:pPr>
      <w:numPr>
        <w:ilvl w:val="6"/>
        <w:numId w:val="30"/>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qFormat/>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33"/>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34"/>
      </w:numPr>
    </w:pPr>
  </w:style>
  <w:style w:type="paragraph" w:customStyle="1" w:styleId="ItemList">
    <w:name w:val="Item List"/>
    <w:basedOn w:val="Normal"/>
    <w:qFormat/>
    <w:rsid w:val="00AE669D"/>
    <w:pPr>
      <w:numPr>
        <w:numId w:val="35"/>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37"/>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36"/>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4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4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4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4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4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42"/>
      </w:numPr>
      <w:tabs>
        <w:tab w:val="left" w:pos="5387"/>
      </w:tabs>
      <w:spacing w:before="120" w:after="120" w:line="240" w:lineRule="auto"/>
    </w:pPr>
    <w:rPr>
      <w:rFonts w:ascii="Arial" w:hAnsi="Arial"/>
      <w:spacing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056783A1FD43CD9368C36B6B577904"/>
        <w:category>
          <w:name w:val="General"/>
          <w:gallery w:val="placeholder"/>
        </w:category>
        <w:types>
          <w:type w:val="bbPlcHdr"/>
        </w:types>
        <w:behaviors>
          <w:behavior w:val="content"/>
        </w:behaviors>
        <w:guid w:val="{2D8706F6-EA39-4AF5-A76D-27146F7187F4}"/>
      </w:docPartPr>
      <w:docPartBody>
        <w:p w:rsidR="00BD17A3" w:rsidRPr="00D750BC" w:rsidRDefault="00BD17A3" w:rsidP="00F922F1">
          <w:pPr>
            <w:pStyle w:val="BodyText"/>
            <w:rPr>
              <w:rStyle w:val="PlaceholderText"/>
              <w:highlight w:val="yellow"/>
            </w:rPr>
          </w:pPr>
          <w:r w:rsidRPr="00D750BC">
            <w:rPr>
              <w:rStyle w:val="PlaceholderText"/>
              <w:highlight w:val="yellow"/>
            </w:rPr>
            <w:t>How will application of this policy be monitored and reported on? Who is responsible?</w:t>
          </w:r>
        </w:p>
        <w:p w:rsidR="00BD17A3" w:rsidRPr="00D750BC" w:rsidRDefault="00BD17A3" w:rsidP="00F922F1">
          <w:pPr>
            <w:pStyle w:val="ListBullet"/>
            <w:rPr>
              <w:rStyle w:val="PlaceholderText"/>
              <w:highlight w:val="yellow"/>
            </w:rPr>
          </w:pPr>
          <w:r w:rsidRPr="00D750BC">
            <w:rPr>
              <w:rStyle w:val="PlaceholderText"/>
              <w:highlight w:val="yellow"/>
            </w:rPr>
            <w:t>If the policy is a council policy, consider if any reports or updates will be required on how the policy is being applied</w:t>
          </w:r>
        </w:p>
        <w:p w:rsidR="00DE6495" w:rsidRDefault="00BD17A3" w:rsidP="00BD17A3">
          <w:pPr>
            <w:pStyle w:val="B1056783A1FD43CD9368C36B6B577904"/>
          </w:pPr>
          <w:r w:rsidRPr="00D750BC">
            <w:rPr>
              <w:rStyle w:val="PlaceholderText"/>
              <w:highlight w:val="yellow"/>
            </w:rPr>
            <w:t>Consider what reports or updates should be prepared for ELT or other areas of the organisation and how you will monitor the effectiveness of the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156082"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16cid:durableId="6029541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A3"/>
    <w:rsid w:val="0002588E"/>
    <w:rsid w:val="000D6A7D"/>
    <w:rsid w:val="001439F7"/>
    <w:rsid w:val="002D1540"/>
    <w:rsid w:val="00637666"/>
    <w:rsid w:val="007A713B"/>
    <w:rsid w:val="008E359D"/>
    <w:rsid w:val="00AF3C80"/>
    <w:rsid w:val="00BD17A3"/>
    <w:rsid w:val="00DE6495"/>
    <w:rsid w:val="00E31F6E"/>
    <w:rsid w:val="00F13CAD"/>
    <w:rsid w:val="00F25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7A3"/>
    <w:rPr>
      <w:color w:val="808080"/>
    </w:rPr>
  </w:style>
  <w:style w:type="paragraph" w:styleId="BodyText">
    <w:name w:val="Body Text"/>
    <w:basedOn w:val="Normal"/>
    <w:link w:val="BodyTextChar"/>
    <w:qFormat/>
    <w:rsid w:val="00BD17A3"/>
    <w:pPr>
      <w:spacing w:before="120" w:after="120" w:line="270" w:lineRule="atLeast"/>
    </w:pPr>
    <w:rPr>
      <w:rFonts w:eastAsia="Times New Roman" w:cs="Times New Roman"/>
      <w:spacing w:val="2"/>
      <w:kern w:val="0"/>
      <w:sz w:val="19"/>
      <w:szCs w:val="19"/>
      <w14:ligatures w14:val="none"/>
    </w:rPr>
  </w:style>
  <w:style w:type="character" w:customStyle="1" w:styleId="BodyTextChar">
    <w:name w:val="Body Text Char"/>
    <w:basedOn w:val="DefaultParagraphFont"/>
    <w:link w:val="BodyText"/>
    <w:rsid w:val="00BD17A3"/>
    <w:rPr>
      <w:rFonts w:eastAsia="Times New Roman" w:cs="Times New Roman"/>
      <w:spacing w:val="2"/>
      <w:kern w:val="0"/>
      <w:sz w:val="19"/>
      <w:szCs w:val="19"/>
      <w14:ligatures w14:val="none"/>
    </w:rPr>
  </w:style>
  <w:style w:type="paragraph" w:styleId="ListBullet">
    <w:name w:val="List Bullet"/>
    <w:basedOn w:val="BodyText"/>
    <w:qFormat/>
    <w:rsid w:val="00BD17A3"/>
    <w:pPr>
      <w:numPr>
        <w:numId w:val="1"/>
      </w:numPr>
      <w:spacing w:before="110" w:after="110"/>
    </w:pPr>
  </w:style>
  <w:style w:type="paragraph" w:styleId="ListBullet2">
    <w:name w:val="List Bullet 2"/>
    <w:basedOn w:val="ListBullet"/>
    <w:qFormat/>
    <w:rsid w:val="00BD17A3"/>
    <w:pPr>
      <w:numPr>
        <w:ilvl w:val="1"/>
      </w:numPr>
    </w:pPr>
  </w:style>
  <w:style w:type="paragraph" w:styleId="ListBullet3">
    <w:name w:val="List Bullet 3"/>
    <w:basedOn w:val="ListBullet2"/>
    <w:qFormat/>
    <w:rsid w:val="00BD17A3"/>
    <w:pPr>
      <w:numPr>
        <w:ilvl w:val="2"/>
      </w:numPr>
    </w:pPr>
  </w:style>
  <w:style w:type="paragraph" w:styleId="ListBullet4">
    <w:name w:val="List Bullet 4"/>
    <w:basedOn w:val="Normal"/>
    <w:semiHidden/>
    <w:unhideWhenUsed/>
    <w:rsid w:val="00BD17A3"/>
    <w:pPr>
      <w:numPr>
        <w:ilvl w:val="3"/>
        <w:numId w:val="1"/>
      </w:numPr>
      <w:spacing w:after="0" w:line="270" w:lineRule="atLeast"/>
      <w:contextualSpacing/>
    </w:pPr>
    <w:rPr>
      <w:rFonts w:eastAsia="Times New Roman" w:cs="Times New Roman"/>
      <w:spacing w:val="2"/>
      <w:kern w:val="0"/>
      <w:sz w:val="19"/>
      <w:szCs w:val="19"/>
      <w14:ligatures w14:val="none"/>
    </w:rPr>
  </w:style>
  <w:style w:type="paragraph" w:styleId="ListBullet5">
    <w:name w:val="List Bullet 5"/>
    <w:basedOn w:val="Normal"/>
    <w:semiHidden/>
    <w:unhideWhenUsed/>
    <w:rsid w:val="00BD17A3"/>
    <w:pPr>
      <w:numPr>
        <w:ilvl w:val="4"/>
        <w:numId w:val="1"/>
      </w:numPr>
      <w:spacing w:after="0" w:line="270" w:lineRule="atLeast"/>
      <w:contextualSpacing/>
    </w:pPr>
    <w:rPr>
      <w:rFonts w:eastAsia="Times New Roman" w:cs="Times New Roman"/>
      <w:spacing w:val="2"/>
      <w:kern w:val="0"/>
      <w:sz w:val="19"/>
      <w:szCs w:val="19"/>
      <w14:ligatures w14:val="none"/>
    </w:rPr>
  </w:style>
  <w:style w:type="paragraph" w:customStyle="1" w:styleId="B1056783A1FD43CD9368C36B6B577904">
    <w:name w:val="B1056783A1FD43CD9368C36B6B577904"/>
    <w:rsid w:val="00BD1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2.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4.xml><?xml version="1.0" encoding="utf-8"?>
<ds:datastoreItem xmlns:ds="http://schemas.openxmlformats.org/officeDocument/2006/customXml" ds:itemID="{E1D497B1-1856-4D07-A98E-9517F8701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F6A4C-CF81-4DE2-89AE-4661CABA672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3</TotalTime>
  <Pages>9</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Allan</dc:creator>
  <cp:lastModifiedBy>Alison McGorman</cp:lastModifiedBy>
  <cp:revision>2</cp:revision>
  <cp:lastPrinted>2026-01-14T04:53:00Z</cp:lastPrinted>
  <dcterms:created xsi:type="dcterms:W3CDTF">2026-01-14T04:54:00Z</dcterms:created>
  <dcterms:modified xsi:type="dcterms:W3CDTF">2026-01-14T04:54:00Z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